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5CA" w:rsidRPr="00DD75CA" w:rsidRDefault="00DD75CA" w:rsidP="00DD75CA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DD75CA">
        <w:rPr>
          <w:rFonts w:ascii="Arial" w:eastAsia="Times New Roman" w:hAnsi="Arial" w:cs="Arial"/>
          <w:b/>
          <w:color w:val="FF0000"/>
          <w:sz w:val="36"/>
          <w:szCs w:val="36"/>
          <w:lang w:eastAsia="sk-SK"/>
        </w:rPr>
        <w:tab/>
      </w:r>
      <w:r w:rsidRPr="00DD75CA">
        <w:rPr>
          <w:rFonts w:ascii="Arial" w:eastAsia="Times New Roman" w:hAnsi="Arial" w:cs="Arial"/>
          <w:b/>
          <w:color w:val="FF0000"/>
          <w:sz w:val="36"/>
          <w:szCs w:val="36"/>
          <w:lang w:eastAsia="sk-SK"/>
        </w:rPr>
        <w:tab/>
      </w:r>
      <w:r w:rsidRPr="00DD75CA">
        <w:rPr>
          <w:rFonts w:ascii="Arial" w:eastAsia="Times New Roman" w:hAnsi="Arial" w:cs="Arial"/>
          <w:b/>
          <w:color w:val="FF0000"/>
          <w:sz w:val="36"/>
          <w:szCs w:val="36"/>
          <w:lang w:eastAsia="sk-SK"/>
        </w:rPr>
        <w:tab/>
      </w:r>
      <w:r w:rsidRPr="00DD75CA">
        <w:rPr>
          <w:rFonts w:ascii="Arial" w:eastAsia="Times New Roman" w:hAnsi="Arial" w:cs="Arial"/>
          <w:b/>
          <w:color w:val="FF0000"/>
          <w:sz w:val="36"/>
          <w:szCs w:val="36"/>
          <w:lang w:eastAsia="sk-SK"/>
        </w:rPr>
        <w:tab/>
      </w:r>
      <w:r w:rsidRPr="00DD75CA">
        <w:rPr>
          <w:rFonts w:ascii="Arial" w:eastAsia="Times New Roman" w:hAnsi="Arial" w:cs="Arial"/>
          <w:b/>
          <w:color w:val="FF0000"/>
          <w:sz w:val="36"/>
          <w:szCs w:val="36"/>
          <w:lang w:eastAsia="sk-SK"/>
        </w:rPr>
        <w:tab/>
      </w:r>
      <w:r w:rsidRPr="00DD75CA">
        <w:rPr>
          <w:rFonts w:ascii="Arial" w:eastAsia="Times New Roman" w:hAnsi="Arial" w:cs="Arial"/>
          <w:b/>
          <w:color w:val="FF0000"/>
          <w:sz w:val="36"/>
          <w:szCs w:val="36"/>
          <w:lang w:eastAsia="sk-SK"/>
        </w:rPr>
        <w:tab/>
      </w:r>
      <w:r w:rsidRPr="00DD75CA">
        <w:rPr>
          <w:rFonts w:ascii="Arial" w:eastAsia="Times New Roman" w:hAnsi="Arial" w:cs="Arial"/>
          <w:b/>
          <w:color w:val="FF0000"/>
          <w:sz w:val="36"/>
          <w:szCs w:val="36"/>
          <w:lang w:eastAsia="sk-SK"/>
        </w:rPr>
        <w:tab/>
      </w:r>
      <w:r w:rsidRPr="00DD75CA">
        <w:rPr>
          <w:rFonts w:ascii="Arial" w:eastAsia="Times New Roman" w:hAnsi="Arial" w:cs="Arial"/>
          <w:b/>
          <w:color w:val="FF0000"/>
          <w:sz w:val="36"/>
          <w:szCs w:val="36"/>
          <w:lang w:eastAsia="sk-SK"/>
        </w:rPr>
        <w:tab/>
      </w:r>
      <w:r w:rsidRPr="00DD75CA">
        <w:rPr>
          <w:rFonts w:ascii="Arial" w:eastAsia="Times New Roman" w:hAnsi="Arial" w:cs="Arial"/>
          <w:b/>
          <w:color w:val="FF0000"/>
          <w:sz w:val="36"/>
          <w:szCs w:val="36"/>
          <w:lang w:eastAsia="sk-SK"/>
        </w:rPr>
        <w:tab/>
      </w:r>
      <w:r w:rsidRPr="00DD75CA">
        <w:rPr>
          <w:rFonts w:ascii="Arial" w:eastAsia="Times New Roman" w:hAnsi="Arial" w:cs="Arial"/>
          <w:b/>
          <w:color w:val="FF0000"/>
          <w:sz w:val="36"/>
          <w:szCs w:val="36"/>
          <w:lang w:eastAsia="sk-SK"/>
        </w:rPr>
        <w:tab/>
      </w:r>
      <w:r w:rsidRPr="00DD75CA">
        <w:rPr>
          <w:rFonts w:ascii="Arial" w:eastAsia="Times New Roman" w:hAnsi="Arial" w:cs="Arial"/>
          <w:b/>
          <w:sz w:val="36"/>
          <w:szCs w:val="36"/>
          <w:lang w:eastAsia="sk-SK"/>
        </w:rPr>
        <w:t>Bod č.</w:t>
      </w:r>
    </w:p>
    <w:p w:rsidR="00DD75CA" w:rsidRPr="00DD75CA" w:rsidRDefault="00DD75CA" w:rsidP="00DD75CA">
      <w:pPr>
        <w:spacing w:after="0" w:line="240" w:lineRule="auto"/>
        <w:rPr>
          <w:rFonts w:ascii="Arial" w:eastAsia="Times New Roman" w:hAnsi="Arial" w:cs="Arial"/>
          <w:b/>
          <w:sz w:val="30"/>
          <w:szCs w:val="30"/>
          <w:lang w:eastAsia="sk-SK"/>
        </w:rPr>
      </w:pPr>
    </w:p>
    <w:p w:rsidR="00DD75CA" w:rsidRPr="009061B6" w:rsidRDefault="00DD75CA" w:rsidP="00DD75CA">
      <w:pPr>
        <w:spacing w:after="0" w:line="240" w:lineRule="auto"/>
        <w:rPr>
          <w:rFonts w:ascii="Arial" w:eastAsia="Times New Roman" w:hAnsi="Arial" w:cs="Arial"/>
          <w:sz w:val="36"/>
          <w:szCs w:val="36"/>
          <w:lang w:eastAsia="sk-SK"/>
        </w:rPr>
      </w:pPr>
      <w:r w:rsidRPr="009061B6">
        <w:rPr>
          <w:rFonts w:ascii="Arial" w:eastAsia="Times New Roman" w:hAnsi="Arial" w:cs="Arial"/>
          <w:b/>
          <w:sz w:val="36"/>
          <w:szCs w:val="36"/>
          <w:lang w:eastAsia="sk-SK"/>
        </w:rPr>
        <w:t>Zastupiteľstv</w:t>
      </w:r>
      <w:r w:rsidR="009061B6" w:rsidRPr="009061B6">
        <w:rPr>
          <w:rFonts w:ascii="Arial" w:eastAsia="Times New Roman" w:hAnsi="Arial" w:cs="Arial"/>
          <w:b/>
          <w:sz w:val="36"/>
          <w:szCs w:val="36"/>
          <w:lang w:eastAsia="sk-SK"/>
        </w:rPr>
        <w:t>o</w:t>
      </w:r>
      <w:r w:rsidRPr="009061B6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Bratislavského samosprávneho kraja</w:t>
      </w:r>
    </w:p>
    <w:p w:rsidR="009061B6" w:rsidRDefault="009061B6" w:rsidP="00DD75C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DD75CA" w:rsidRPr="00DD75CA" w:rsidRDefault="00DD75CA" w:rsidP="00DD75C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  <w:r w:rsidRPr="00DD75CA">
        <w:rPr>
          <w:rFonts w:ascii="Arial" w:eastAsia="Times New Roman" w:hAnsi="Arial" w:cs="Arial"/>
          <w:sz w:val="24"/>
          <w:szCs w:val="24"/>
          <w:lang w:eastAsia="sk-SK"/>
        </w:rPr>
        <w:t xml:space="preserve">Materiál na rokovanie Zastupiteľstva </w:t>
      </w:r>
    </w:p>
    <w:p w:rsidR="00DD75CA" w:rsidRPr="00DD75CA" w:rsidRDefault="00DD75CA" w:rsidP="00DD75C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  <w:r w:rsidRPr="00DD75CA">
        <w:rPr>
          <w:rFonts w:ascii="Arial" w:eastAsia="Times New Roman" w:hAnsi="Arial" w:cs="Arial"/>
          <w:sz w:val="24"/>
          <w:szCs w:val="24"/>
          <w:lang w:eastAsia="sk-SK"/>
        </w:rPr>
        <w:t xml:space="preserve">Bratislavského samosprávneho kraja </w:t>
      </w:r>
    </w:p>
    <w:p w:rsidR="00DD75CA" w:rsidRPr="00DD75CA" w:rsidRDefault="00DD75CA" w:rsidP="00DD75C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DD75CA" w:rsidRPr="00DD75CA" w:rsidRDefault="00DD75CA" w:rsidP="00DD75CA">
      <w:pPr>
        <w:tabs>
          <w:tab w:val="left" w:pos="1254"/>
        </w:tabs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p w:rsidR="00DD75CA" w:rsidRDefault="00DD75CA" w:rsidP="00DD75C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sk-SK"/>
        </w:rPr>
      </w:pPr>
    </w:p>
    <w:p w:rsidR="00DD75CA" w:rsidRPr="00DD75CA" w:rsidRDefault="00DD75CA" w:rsidP="00DD75C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sk-SK"/>
        </w:rPr>
      </w:pPr>
    </w:p>
    <w:p w:rsidR="00CD19FD" w:rsidRPr="00CD19FD" w:rsidRDefault="00DD75CA" w:rsidP="00DD75CA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CD19FD">
        <w:rPr>
          <w:rFonts w:ascii="Arial" w:hAnsi="Arial" w:cs="Arial"/>
          <w:b/>
          <w:sz w:val="32"/>
          <w:szCs w:val="32"/>
        </w:rPr>
        <w:t xml:space="preserve">Informácia </w:t>
      </w:r>
    </w:p>
    <w:p w:rsidR="00CD19FD" w:rsidRDefault="00CD19FD" w:rsidP="00DD75CA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DD75CA" w:rsidRPr="00DD75CA" w:rsidRDefault="00DD75CA" w:rsidP="00DD75CA">
      <w:pPr>
        <w:spacing w:after="0"/>
        <w:jc w:val="center"/>
        <w:rPr>
          <w:rFonts w:ascii="Arial" w:hAnsi="Arial" w:cs="Arial"/>
          <w:b/>
          <w:sz w:val="26"/>
          <w:szCs w:val="26"/>
        </w:rPr>
      </w:pPr>
      <w:r w:rsidRPr="00DD75CA">
        <w:rPr>
          <w:rFonts w:ascii="Arial" w:hAnsi="Arial" w:cs="Arial"/>
          <w:b/>
          <w:sz w:val="26"/>
          <w:szCs w:val="26"/>
        </w:rPr>
        <w:t>o prerozdelení dane z príjmov fyzických osôb a dane z motorových vozidiel v rámci vyšších územných celkov v roku 2012</w:t>
      </w:r>
    </w:p>
    <w:p w:rsidR="00DD75CA" w:rsidRPr="00DD75CA" w:rsidRDefault="00DD75CA" w:rsidP="00DD75CA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Arial Unicode MS" w:hAnsi="Arial" w:cs="Arial"/>
          <w:b/>
          <w:bCs/>
          <w:sz w:val="24"/>
          <w:szCs w:val="24"/>
          <w:lang w:eastAsia="sk-SK"/>
        </w:rPr>
      </w:pPr>
    </w:p>
    <w:p w:rsidR="00DD75CA" w:rsidRPr="00DD75CA" w:rsidRDefault="00DD75CA" w:rsidP="00DD75CA">
      <w:pPr>
        <w:tabs>
          <w:tab w:val="left" w:pos="125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DD75CA" w:rsidRPr="00DD75CA" w:rsidRDefault="00DD75CA" w:rsidP="00DD75CA">
      <w:pPr>
        <w:spacing w:after="120" w:line="240" w:lineRule="auto"/>
        <w:ind w:left="283"/>
        <w:rPr>
          <w:rFonts w:ascii="Arial" w:eastAsia="Times New Roman" w:hAnsi="Arial" w:cs="Arial"/>
          <w:u w:val="single"/>
          <w:lang w:eastAsia="sk-SK"/>
        </w:rPr>
      </w:pPr>
    </w:p>
    <w:p w:rsidR="009061B6" w:rsidRDefault="00DD75CA" w:rsidP="00DD75CA">
      <w:pPr>
        <w:spacing w:after="120" w:line="240" w:lineRule="auto"/>
        <w:rPr>
          <w:rFonts w:ascii="Arial" w:eastAsia="Times New Roman" w:hAnsi="Arial" w:cs="Arial"/>
          <w:lang w:eastAsia="sk-SK"/>
        </w:rPr>
      </w:pPr>
      <w:r w:rsidRPr="009061B6">
        <w:rPr>
          <w:rFonts w:ascii="Arial" w:eastAsia="Times New Roman" w:hAnsi="Arial" w:cs="Arial"/>
          <w:u w:val="single"/>
          <w:lang w:eastAsia="sk-SK"/>
        </w:rPr>
        <w:t xml:space="preserve">Materiál </w:t>
      </w:r>
      <w:r w:rsidR="009061B6" w:rsidRPr="009061B6">
        <w:rPr>
          <w:rFonts w:ascii="Arial" w:eastAsia="Times New Roman" w:hAnsi="Arial" w:cs="Arial"/>
          <w:u w:val="single"/>
          <w:lang w:eastAsia="sk-SK"/>
        </w:rPr>
        <w:t>predkladá</w:t>
      </w:r>
      <w:r w:rsidRPr="009061B6">
        <w:rPr>
          <w:rFonts w:ascii="Arial" w:eastAsia="Times New Roman" w:hAnsi="Arial" w:cs="Arial"/>
          <w:u w:val="single"/>
          <w:lang w:eastAsia="sk-SK"/>
        </w:rPr>
        <w:t>:</w:t>
      </w:r>
      <w:r w:rsidR="009061B6" w:rsidRPr="009061B6">
        <w:rPr>
          <w:rFonts w:ascii="Arial" w:eastAsia="Times New Roman" w:hAnsi="Arial" w:cs="Arial"/>
          <w:lang w:eastAsia="sk-SK"/>
        </w:rPr>
        <w:t xml:space="preserve"> </w:t>
      </w:r>
      <w:r w:rsidR="009061B6">
        <w:rPr>
          <w:rFonts w:ascii="Arial" w:eastAsia="Times New Roman" w:hAnsi="Arial" w:cs="Arial"/>
          <w:lang w:eastAsia="sk-SK"/>
        </w:rPr>
        <w:tab/>
      </w:r>
      <w:r w:rsidR="009061B6">
        <w:rPr>
          <w:rFonts w:ascii="Arial" w:eastAsia="Times New Roman" w:hAnsi="Arial" w:cs="Arial"/>
          <w:lang w:eastAsia="sk-SK"/>
        </w:rPr>
        <w:tab/>
      </w:r>
      <w:r w:rsidR="009061B6">
        <w:rPr>
          <w:rFonts w:ascii="Arial" w:eastAsia="Times New Roman" w:hAnsi="Arial" w:cs="Arial"/>
          <w:lang w:eastAsia="sk-SK"/>
        </w:rPr>
        <w:tab/>
      </w:r>
      <w:r w:rsidR="009061B6">
        <w:rPr>
          <w:rFonts w:ascii="Arial" w:eastAsia="Times New Roman" w:hAnsi="Arial" w:cs="Arial"/>
          <w:lang w:eastAsia="sk-SK"/>
        </w:rPr>
        <w:tab/>
      </w:r>
      <w:r w:rsidR="009061B6">
        <w:rPr>
          <w:rFonts w:ascii="Arial" w:eastAsia="Times New Roman" w:hAnsi="Arial" w:cs="Arial"/>
          <w:lang w:eastAsia="sk-SK"/>
        </w:rPr>
        <w:tab/>
      </w:r>
      <w:r w:rsidR="009061B6">
        <w:rPr>
          <w:rFonts w:ascii="Arial" w:eastAsia="Times New Roman" w:hAnsi="Arial" w:cs="Arial"/>
          <w:lang w:eastAsia="sk-SK"/>
        </w:rPr>
        <w:tab/>
        <w:t>Materiál obsahuje:</w:t>
      </w:r>
    </w:p>
    <w:p w:rsidR="009061B6" w:rsidRPr="009061B6" w:rsidRDefault="009061B6" w:rsidP="009061B6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b/>
          <w:lang w:eastAsia="sk-SK"/>
        </w:rPr>
        <w:t>JUDr. Ivo Nesrovnal</w:t>
      </w:r>
      <w:r>
        <w:rPr>
          <w:rFonts w:ascii="Arial" w:eastAsia="Times New Roman" w:hAnsi="Arial" w:cs="Arial"/>
          <w:b/>
          <w:lang w:eastAsia="sk-SK"/>
        </w:rPr>
        <w:tab/>
      </w:r>
      <w:r>
        <w:rPr>
          <w:rFonts w:ascii="Arial" w:eastAsia="Times New Roman" w:hAnsi="Arial" w:cs="Arial"/>
          <w:b/>
          <w:lang w:eastAsia="sk-SK"/>
        </w:rPr>
        <w:tab/>
      </w:r>
      <w:r>
        <w:rPr>
          <w:rFonts w:ascii="Arial" w:eastAsia="Times New Roman" w:hAnsi="Arial" w:cs="Arial"/>
          <w:b/>
          <w:lang w:eastAsia="sk-SK"/>
        </w:rPr>
        <w:tab/>
      </w:r>
      <w:r>
        <w:rPr>
          <w:rFonts w:ascii="Arial" w:eastAsia="Times New Roman" w:hAnsi="Arial" w:cs="Arial"/>
          <w:b/>
          <w:lang w:eastAsia="sk-SK"/>
        </w:rPr>
        <w:tab/>
      </w:r>
      <w:r>
        <w:rPr>
          <w:rFonts w:ascii="Arial" w:eastAsia="Times New Roman" w:hAnsi="Arial" w:cs="Arial"/>
          <w:b/>
          <w:lang w:eastAsia="sk-SK"/>
        </w:rPr>
        <w:tab/>
      </w:r>
      <w:r>
        <w:rPr>
          <w:rFonts w:ascii="Arial" w:eastAsia="Times New Roman" w:hAnsi="Arial" w:cs="Arial"/>
          <w:b/>
          <w:lang w:eastAsia="sk-SK"/>
        </w:rPr>
        <w:tab/>
      </w:r>
      <w:r w:rsidRPr="009061B6">
        <w:rPr>
          <w:rFonts w:ascii="Arial" w:eastAsia="Times New Roman" w:hAnsi="Arial" w:cs="Arial"/>
          <w:lang w:eastAsia="sk-SK"/>
        </w:rPr>
        <w:t>1. Dôvodovú správu</w:t>
      </w:r>
    </w:p>
    <w:p w:rsidR="009061B6" w:rsidRDefault="009061B6" w:rsidP="009061B6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9061B6">
        <w:rPr>
          <w:rFonts w:ascii="Arial" w:eastAsia="Times New Roman" w:hAnsi="Arial" w:cs="Arial"/>
          <w:lang w:eastAsia="sk-SK"/>
        </w:rPr>
        <w:t>Podpredseda</w:t>
      </w:r>
      <w:r>
        <w:rPr>
          <w:rFonts w:ascii="Arial" w:eastAsia="Times New Roman" w:hAnsi="Arial" w:cs="Arial"/>
          <w:lang w:eastAsia="sk-SK"/>
        </w:rPr>
        <w:tab/>
      </w:r>
      <w:r>
        <w:rPr>
          <w:rFonts w:ascii="Arial" w:eastAsia="Times New Roman" w:hAnsi="Arial" w:cs="Arial"/>
          <w:lang w:eastAsia="sk-SK"/>
        </w:rPr>
        <w:tab/>
      </w:r>
      <w:r>
        <w:rPr>
          <w:rFonts w:ascii="Arial" w:eastAsia="Times New Roman" w:hAnsi="Arial" w:cs="Arial"/>
          <w:lang w:eastAsia="sk-SK"/>
        </w:rPr>
        <w:tab/>
      </w:r>
      <w:r>
        <w:rPr>
          <w:rFonts w:ascii="Arial" w:eastAsia="Times New Roman" w:hAnsi="Arial" w:cs="Arial"/>
          <w:lang w:eastAsia="sk-SK"/>
        </w:rPr>
        <w:tab/>
      </w:r>
      <w:r>
        <w:rPr>
          <w:rFonts w:ascii="Arial" w:eastAsia="Times New Roman" w:hAnsi="Arial" w:cs="Arial"/>
          <w:lang w:eastAsia="sk-SK"/>
        </w:rPr>
        <w:tab/>
      </w:r>
      <w:r>
        <w:rPr>
          <w:rFonts w:ascii="Arial" w:eastAsia="Times New Roman" w:hAnsi="Arial" w:cs="Arial"/>
          <w:lang w:eastAsia="sk-SK"/>
        </w:rPr>
        <w:tab/>
      </w:r>
      <w:r>
        <w:rPr>
          <w:rFonts w:ascii="Arial" w:eastAsia="Times New Roman" w:hAnsi="Arial" w:cs="Arial"/>
          <w:lang w:eastAsia="sk-SK"/>
        </w:rPr>
        <w:tab/>
        <w:t>2. Návrh uznesenia</w:t>
      </w:r>
    </w:p>
    <w:p w:rsidR="009061B6" w:rsidRDefault="009061B6" w:rsidP="009061B6">
      <w:pPr>
        <w:spacing w:after="0" w:line="240" w:lineRule="auto"/>
        <w:ind w:left="5664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 xml:space="preserve">3. Informáciu o prerozdelení dane   </w:t>
      </w:r>
    </w:p>
    <w:p w:rsidR="009061B6" w:rsidRPr="009061B6" w:rsidRDefault="009061B6" w:rsidP="009061B6">
      <w:pPr>
        <w:spacing w:after="0" w:line="240" w:lineRule="auto"/>
        <w:ind w:left="5664"/>
        <w:rPr>
          <w:rFonts w:ascii="Arial" w:eastAsia="Times New Roman" w:hAnsi="Arial" w:cs="Arial"/>
          <w:u w:val="single"/>
          <w:lang w:eastAsia="sk-SK"/>
        </w:rPr>
      </w:pPr>
      <w:r>
        <w:rPr>
          <w:rFonts w:ascii="Arial" w:eastAsia="Times New Roman" w:hAnsi="Arial" w:cs="Arial"/>
          <w:lang w:eastAsia="sk-SK"/>
        </w:rPr>
        <w:t xml:space="preserve">     FO a </w:t>
      </w:r>
      <w:proofErr w:type="spellStart"/>
      <w:r>
        <w:rPr>
          <w:rFonts w:ascii="Arial" w:eastAsia="Times New Roman" w:hAnsi="Arial" w:cs="Arial"/>
          <w:lang w:eastAsia="sk-SK"/>
        </w:rPr>
        <w:t>DzMV</w:t>
      </w:r>
      <w:proofErr w:type="spellEnd"/>
      <w:r>
        <w:rPr>
          <w:rFonts w:ascii="Arial" w:eastAsia="Times New Roman" w:hAnsi="Arial" w:cs="Arial"/>
          <w:lang w:eastAsia="sk-SK"/>
        </w:rPr>
        <w:t>.....</w:t>
      </w:r>
    </w:p>
    <w:p w:rsidR="00DD75CA" w:rsidRPr="00DD75CA" w:rsidRDefault="00DD75CA" w:rsidP="00DD75CA">
      <w:pPr>
        <w:spacing w:after="120" w:line="240" w:lineRule="auto"/>
        <w:ind w:left="283"/>
        <w:rPr>
          <w:rFonts w:ascii="Arial" w:eastAsia="Times New Roman" w:hAnsi="Arial" w:cs="Arial"/>
          <w:u w:val="single"/>
          <w:lang w:eastAsia="sk-SK"/>
        </w:rPr>
      </w:pPr>
    </w:p>
    <w:p w:rsidR="00DD75CA" w:rsidRPr="00DD75CA" w:rsidRDefault="00DD75CA" w:rsidP="00DD75CA">
      <w:pPr>
        <w:spacing w:after="120" w:line="240" w:lineRule="auto"/>
        <w:ind w:left="283"/>
        <w:rPr>
          <w:rFonts w:ascii="Arial" w:eastAsia="Times New Roman" w:hAnsi="Arial" w:cs="Arial"/>
          <w:u w:val="single"/>
          <w:lang w:eastAsia="sk-SK"/>
        </w:rPr>
      </w:pPr>
    </w:p>
    <w:p w:rsidR="009061B6" w:rsidRDefault="009061B6" w:rsidP="009061B6">
      <w:pPr>
        <w:spacing w:after="120" w:line="240" w:lineRule="auto"/>
        <w:rPr>
          <w:rFonts w:ascii="Arial" w:eastAsia="Times New Roman" w:hAnsi="Arial" w:cs="Arial"/>
          <w:u w:val="single"/>
          <w:lang w:eastAsia="sk-SK"/>
        </w:rPr>
      </w:pPr>
    </w:p>
    <w:p w:rsidR="009061B6" w:rsidRDefault="009061B6" w:rsidP="00DD75CA">
      <w:pPr>
        <w:spacing w:after="120" w:line="240" w:lineRule="auto"/>
        <w:ind w:left="5761" w:hanging="5761"/>
        <w:rPr>
          <w:rFonts w:ascii="Arial" w:eastAsia="Times New Roman" w:hAnsi="Arial" w:cs="Arial"/>
          <w:u w:val="single"/>
          <w:lang w:eastAsia="sk-SK"/>
        </w:rPr>
      </w:pPr>
    </w:p>
    <w:p w:rsidR="009061B6" w:rsidRDefault="009061B6" w:rsidP="00DD75CA">
      <w:pPr>
        <w:spacing w:after="120" w:line="240" w:lineRule="auto"/>
        <w:ind w:left="5761" w:hanging="5761"/>
        <w:rPr>
          <w:rFonts w:ascii="Arial" w:eastAsia="Times New Roman" w:hAnsi="Arial" w:cs="Arial"/>
          <w:u w:val="single"/>
          <w:lang w:eastAsia="sk-SK"/>
        </w:rPr>
      </w:pPr>
    </w:p>
    <w:p w:rsidR="00DD75CA" w:rsidRPr="00DD75CA" w:rsidRDefault="00DD75CA" w:rsidP="00DD75CA">
      <w:pPr>
        <w:spacing w:after="120" w:line="240" w:lineRule="auto"/>
        <w:ind w:left="5761" w:hanging="5761"/>
        <w:rPr>
          <w:rFonts w:ascii="Arial" w:eastAsia="Times New Roman" w:hAnsi="Arial" w:cs="Arial"/>
          <w:lang w:eastAsia="sk-SK"/>
        </w:rPr>
      </w:pPr>
      <w:r w:rsidRPr="00DD75CA">
        <w:rPr>
          <w:rFonts w:ascii="Arial" w:eastAsia="Times New Roman" w:hAnsi="Arial" w:cs="Arial"/>
          <w:u w:val="single"/>
          <w:lang w:eastAsia="sk-SK"/>
        </w:rPr>
        <w:t>Zodpovedný</w:t>
      </w:r>
      <w:r w:rsidRPr="00DD75CA">
        <w:rPr>
          <w:rFonts w:ascii="Arial" w:eastAsia="Times New Roman" w:hAnsi="Arial" w:cs="Arial"/>
          <w:lang w:eastAsia="sk-SK"/>
        </w:rPr>
        <w:t>:</w:t>
      </w:r>
    </w:p>
    <w:p w:rsidR="00DD75CA" w:rsidRPr="00DD75CA" w:rsidRDefault="00DD75CA" w:rsidP="00DD75CA">
      <w:pPr>
        <w:spacing w:after="0" w:line="240" w:lineRule="auto"/>
        <w:ind w:left="5761" w:hanging="5761"/>
        <w:rPr>
          <w:rFonts w:ascii="Arial" w:eastAsia="Times New Roman" w:hAnsi="Arial" w:cs="Arial"/>
          <w:b/>
          <w:lang w:eastAsia="sk-SK"/>
        </w:rPr>
      </w:pPr>
      <w:r w:rsidRPr="00DD75CA">
        <w:rPr>
          <w:rFonts w:ascii="Arial" w:eastAsia="Times New Roman" w:hAnsi="Arial" w:cs="Arial"/>
          <w:b/>
          <w:lang w:eastAsia="sk-SK"/>
        </w:rPr>
        <w:t>Ing. Marián Múdry</w:t>
      </w:r>
    </w:p>
    <w:p w:rsidR="00DD75CA" w:rsidRPr="00DD75CA" w:rsidRDefault="00DD75CA" w:rsidP="00DD75CA">
      <w:pPr>
        <w:spacing w:after="0" w:line="240" w:lineRule="auto"/>
        <w:ind w:left="5761" w:hanging="5761"/>
        <w:rPr>
          <w:rFonts w:ascii="Arial" w:eastAsia="Times New Roman" w:hAnsi="Arial" w:cs="Arial"/>
          <w:b/>
          <w:lang w:eastAsia="sk-SK"/>
        </w:rPr>
      </w:pPr>
      <w:r w:rsidRPr="00DD75CA">
        <w:rPr>
          <w:rFonts w:ascii="Arial" w:eastAsia="Times New Roman" w:hAnsi="Arial" w:cs="Arial"/>
          <w:lang w:eastAsia="sk-SK"/>
        </w:rPr>
        <w:t xml:space="preserve">riaditeľ odboru financií </w:t>
      </w:r>
    </w:p>
    <w:p w:rsidR="00DD75CA" w:rsidRPr="00DD75CA" w:rsidRDefault="00DD75CA" w:rsidP="00DD75CA">
      <w:pPr>
        <w:tabs>
          <w:tab w:val="left" w:pos="1254"/>
        </w:tabs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sk-SK"/>
        </w:rPr>
      </w:pPr>
    </w:p>
    <w:p w:rsidR="00DD75CA" w:rsidRPr="00DD75CA" w:rsidRDefault="00DD75CA" w:rsidP="00DD75CA">
      <w:pPr>
        <w:tabs>
          <w:tab w:val="left" w:pos="1254"/>
        </w:tabs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sk-SK"/>
        </w:rPr>
      </w:pPr>
      <w:r w:rsidRPr="00DD75CA">
        <w:rPr>
          <w:rFonts w:ascii="Arial" w:eastAsia="Times New Roman" w:hAnsi="Arial" w:cs="Arial"/>
          <w:sz w:val="24"/>
          <w:szCs w:val="24"/>
          <w:u w:val="single"/>
          <w:lang w:eastAsia="sk-SK"/>
        </w:rPr>
        <w:t>Spracovateľ:</w:t>
      </w:r>
    </w:p>
    <w:p w:rsidR="00DD75CA" w:rsidRPr="00DD75CA" w:rsidRDefault="00DD75CA" w:rsidP="00DD75CA">
      <w:pPr>
        <w:tabs>
          <w:tab w:val="left" w:pos="1254"/>
        </w:tabs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sk-SK"/>
        </w:rPr>
      </w:pPr>
    </w:p>
    <w:p w:rsidR="004111FA" w:rsidRDefault="004111FA" w:rsidP="00DD75CA">
      <w:pPr>
        <w:tabs>
          <w:tab w:val="left" w:pos="1254"/>
        </w:tabs>
        <w:spacing w:after="0" w:line="240" w:lineRule="atLeast"/>
        <w:rPr>
          <w:rFonts w:ascii="Arial" w:eastAsia="Lucida Sans Unicode" w:hAnsi="Arial" w:cs="Arial"/>
          <w:b/>
          <w:bCs/>
          <w:lang w:eastAsia="cs-CZ"/>
        </w:rPr>
      </w:pPr>
      <w:r>
        <w:rPr>
          <w:rFonts w:ascii="Arial" w:eastAsia="Lucida Sans Unicode" w:hAnsi="Arial" w:cs="Arial"/>
          <w:b/>
          <w:bCs/>
          <w:lang w:eastAsia="cs-CZ"/>
        </w:rPr>
        <w:t xml:space="preserve">Ing. Ján </w:t>
      </w:r>
      <w:proofErr w:type="spellStart"/>
      <w:r>
        <w:rPr>
          <w:rFonts w:ascii="Arial" w:eastAsia="Lucida Sans Unicode" w:hAnsi="Arial" w:cs="Arial"/>
          <w:b/>
          <w:bCs/>
          <w:lang w:eastAsia="cs-CZ"/>
        </w:rPr>
        <w:t>Marušinec</w:t>
      </w:r>
      <w:proofErr w:type="spellEnd"/>
    </w:p>
    <w:p w:rsidR="004111FA" w:rsidRDefault="004111FA" w:rsidP="00DD75CA">
      <w:pPr>
        <w:tabs>
          <w:tab w:val="left" w:pos="1254"/>
        </w:tabs>
        <w:spacing w:after="0" w:line="240" w:lineRule="atLeast"/>
        <w:rPr>
          <w:rFonts w:ascii="Arial" w:eastAsia="Lucida Sans Unicode" w:hAnsi="Arial" w:cs="Arial"/>
          <w:lang w:eastAsia="cs-CZ"/>
        </w:rPr>
      </w:pPr>
      <w:r>
        <w:rPr>
          <w:rFonts w:ascii="Arial" w:eastAsia="Lucida Sans Unicode" w:hAnsi="Arial" w:cs="Arial"/>
          <w:lang w:eastAsia="cs-CZ"/>
        </w:rPr>
        <w:t>p</w:t>
      </w:r>
      <w:r w:rsidRPr="004111FA">
        <w:rPr>
          <w:rFonts w:ascii="Arial" w:eastAsia="Lucida Sans Unicode" w:hAnsi="Arial" w:cs="Arial"/>
          <w:lang w:eastAsia="cs-CZ"/>
        </w:rPr>
        <w:t>oradca predsedu</w:t>
      </w:r>
    </w:p>
    <w:p w:rsidR="004111FA" w:rsidRPr="004111FA" w:rsidRDefault="004111FA" w:rsidP="00DD75CA">
      <w:pPr>
        <w:tabs>
          <w:tab w:val="left" w:pos="1254"/>
        </w:tabs>
        <w:spacing w:after="0" w:line="240" w:lineRule="atLeast"/>
        <w:rPr>
          <w:rFonts w:ascii="Arial" w:eastAsia="Lucida Sans Unicode" w:hAnsi="Arial" w:cs="Arial"/>
          <w:lang w:eastAsia="cs-CZ"/>
        </w:rPr>
      </w:pPr>
    </w:p>
    <w:p w:rsidR="00DD75CA" w:rsidRPr="00DD75CA" w:rsidRDefault="00DD75CA" w:rsidP="00DD75CA">
      <w:pPr>
        <w:tabs>
          <w:tab w:val="left" w:pos="1254"/>
        </w:tabs>
        <w:spacing w:after="0" w:line="240" w:lineRule="atLeast"/>
        <w:rPr>
          <w:rFonts w:ascii="Arial" w:eastAsia="Lucida Sans Unicode" w:hAnsi="Arial" w:cs="Arial"/>
          <w:b/>
          <w:bCs/>
          <w:lang w:eastAsia="cs-CZ"/>
        </w:rPr>
      </w:pPr>
      <w:r w:rsidRPr="00DD75CA">
        <w:rPr>
          <w:rFonts w:ascii="Arial" w:eastAsia="Lucida Sans Unicode" w:hAnsi="Arial" w:cs="Arial"/>
          <w:b/>
          <w:bCs/>
          <w:lang w:eastAsia="cs-CZ"/>
        </w:rPr>
        <w:t>Ing. Veronika Bódiová</w:t>
      </w:r>
    </w:p>
    <w:p w:rsidR="00DD75CA" w:rsidRPr="00DD75CA" w:rsidRDefault="00DD75CA" w:rsidP="00DD75CA">
      <w:pPr>
        <w:tabs>
          <w:tab w:val="left" w:pos="1254"/>
        </w:tabs>
        <w:spacing w:after="0" w:line="240" w:lineRule="atLeast"/>
        <w:rPr>
          <w:rFonts w:ascii="Arial" w:eastAsia="Lucida Sans Unicode" w:hAnsi="Arial" w:cs="Arial"/>
          <w:lang w:eastAsia="cs-CZ"/>
        </w:rPr>
      </w:pPr>
      <w:r w:rsidRPr="00DD75CA">
        <w:rPr>
          <w:rFonts w:ascii="Arial" w:eastAsia="Lucida Sans Unicode" w:hAnsi="Arial" w:cs="Arial"/>
          <w:lang w:eastAsia="cs-CZ"/>
        </w:rPr>
        <w:t xml:space="preserve">vedúca oddelenia rozpočtu </w:t>
      </w:r>
    </w:p>
    <w:p w:rsidR="00DD75CA" w:rsidRPr="00DD75CA" w:rsidRDefault="00DD75CA" w:rsidP="00DD75CA">
      <w:pPr>
        <w:tabs>
          <w:tab w:val="left" w:pos="1254"/>
        </w:tabs>
        <w:spacing w:after="0" w:line="240" w:lineRule="atLeast"/>
        <w:rPr>
          <w:rFonts w:ascii="Arial" w:eastAsia="Lucida Sans Unicode" w:hAnsi="Arial" w:cs="Arial"/>
          <w:lang w:eastAsia="cs-CZ"/>
        </w:rPr>
      </w:pPr>
    </w:p>
    <w:p w:rsidR="00DD75CA" w:rsidRPr="00DD75CA" w:rsidRDefault="00DD75CA" w:rsidP="00DD75CA">
      <w:pPr>
        <w:tabs>
          <w:tab w:val="left" w:pos="1254"/>
        </w:tabs>
        <w:spacing w:after="0" w:line="240" w:lineRule="atLeast"/>
        <w:rPr>
          <w:rFonts w:ascii="Arial" w:eastAsia="Lucida Sans Unicode" w:hAnsi="Arial" w:cs="Arial"/>
          <w:b/>
          <w:lang w:eastAsia="cs-CZ"/>
        </w:rPr>
      </w:pPr>
      <w:r w:rsidRPr="00DD75CA">
        <w:rPr>
          <w:rFonts w:ascii="Arial" w:eastAsia="Lucida Sans Unicode" w:hAnsi="Arial" w:cs="Arial"/>
          <w:b/>
          <w:lang w:eastAsia="cs-CZ"/>
        </w:rPr>
        <w:t>Ing. Marek Vlčej</w:t>
      </w:r>
    </w:p>
    <w:p w:rsidR="00DD75CA" w:rsidRPr="00DD75CA" w:rsidRDefault="00DD75CA" w:rsidP="00DD75CA">
      <w:pPr>
        <w:tabs>
          <w:tab w:val="left" w:pos="1254"/>
        </w:tabs>
        <w:spacing w:after="0" w:line="240" w:lineRule="atLeast"/>
        <w:rPr>
          <w:rFonts w:ascii="Arial" w:eastAsia="Lucida Sans Unicode" w:hAnsi="Arial" w:cs="Arial"/>
          <w:lang w:eastAsia="cs-CZ"/>
        </w:rPr>
      </w:pPr>
      <w:r w:rsidRPr="00DD75CA">
        <w:rPr>
          <w:rFonts w:ascii="Arial" w:eastAsia="Lucida Sans Unicode" w:hAnsi="Arial" w:cs="Arial"/>
          <w:lang w:eastAsia="cs-CZ"/>
        </w:rPr>
        <w:t>referent oddelenia rozpočtu</w:t>
      </w:r>
    </w:p>
    <w:p w:rsidR="00DD75CA" w:rsidRPr="00DD75CA" w:rsidRDefault="00DD75CA" w:rsidP="00DD75CA">
      <w:pPr>
        <w:tabs>
          <w:tab w:val="left" w:pos="1254"/>
        </w:tabs>
        <w:spacing w:after="0" w:line="240" w:lineRule="auto"/>
        <w:rPr>
          <w:rFonts w:ascii="Arial" w:eastAsia="Lucida Sans Unicode" w:hAnsi="Arial" w:cs="Arial"/>
          <w:color w:val="FF0000"/>
          <w:lang w:val="cs-CZ"/>
        </w:rPr>
      </w:pPr>
    </w:p>
    <w:p w:rsidR="00DD75CA" w:rsidRPr="00DD75CA" w:rsidRDefault="00DD75CA" w:rsidP="00DD75CA">
      <w:pPr>
        <w:tabs>
          <w:tab w:val="left" w:pos="1254"/>
        </w:tabs>
        <w:spacing w:after="0" w:line="240" w:lineRule="auto"/>
        <w:rPr>
          <w:rFonts w:ascii="Arial" w:eastAsia="Lucida Sans Unicode" w:hAnsi="Arial" w:cs="Arial"/>
          <w:color w:val="FF0000"/>
          <w:lang w:val="cs-CZ"/>
        </w:rPr>
      </w:pPr>
    </w:p>
    <w:p w:rsidR="00DD75CA" w:rsidRPr="00DD75CA" w:rsidRDefault="00DD75CA" w:rsidP="00DD75CA">
      <w:pPr>
        <w:tabs>
          <w:tab w:val="left" w:pos="1254"/>
        </w:tabs>
        <w:spacing w:after="0" w:line="240" w:lineRule="auto"/>
        <w:jc w:val="center"/>
        <w:rPr>
          <w:rFonts w:ascii="Arial" w:eastAsia="Lucida Sans Unicode" w:hAnsi="Arial" w:cs="Arial"/>
          <w:b/>
          <w:lang w:val="cs-CZ"/>
        </w:rPr>
      </w:pPr>
      <w:r w:rsidRPr="00DD75CA">
        <w:rPr>
          <w:rFonts w:ascii="Arial" w:eastAsia="Lucida Sans Unicode" w:hAnsi="Arial" w:cs="Arial"/>
          <w:b/>
          <w:lang w:val="cs-CZ"/>
        </w:rPr>
        <w:t>Bratislava</w:t>
      </w:r>
    </w:p>
    <w:p w:rsidR="00DD75CA" w:rsidRPr="00DD75CA" w:rsidRDefault="00DD75CA" w:rsidP="00DD75CA">
      <w:pPr>
        <w:tabs>
          <w:tab w:val="left" w:pos="1254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sz w:val="24"/>
          <w:szCs w:val="24"/>
          <w:lang w:eastAsia="sk-SK"/>
        </w:rPr>
        <w:t>Jún</w:t>
      </w:r>
      <w:r w:rsidRPr="00DD75CA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2013</w:t>
      </w:r>
    </w:p>
    <w:p w:rsidR="009061B6" w:rsidRDefault="009061B6" w:rsidP="00DD75CA">
      <w:pPr>
        <w:spacing w:after="0" w:line="240" w:lineRule="auto"/>
        <w:jc w:val="center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DD75CA" w:rsidRPr="00DD75CA" w:rsidRDefault="00DD75CA" w:rsidP="00DD75CA">
      <w:pPr>
        <w:spacing w:after="0" w:line="240" w:lineRule="auto"/>
        <w:jc w:val="center"/>
        <w:rPr>
          <w:rFonts w:ascii="Arial Narrow" w:eastAsia="Times New Roman" w:hAnsi="Arial Narrow" w:cs="Arial"/>
          <w:sz w:val="24"/>
          <w:szCs w:val="24"/>
          <w:lang w:eastAsia="sk-SK"/>
        </w:rPr>
      </w:pPr>
      <w:r w:rsidRPr="00DD75CA">
        <w:rPr>
          <w:rFonts w:ascii="Arial Narrow" w:eastAsia="Times New Roman" w:hAnsi="Arial Narrow" w:cs="Arial"/>
          <w:sz w:val="24"/>
          <w:szCs w:val="24"/>
          <w:lang w:eastAsia="sk-SK"/>
        </w:rPr>
        <w:lastRenderedPageBreak/>
        <w:t>N á v r h  u z n e s e n i a</w:t>
      </w:r>
    </w:p>
    <w:p w:rsidR="00DD75CA" w:rsidRPr="00DD75CA" w:rsidRDefault="00DD75CA" w:rsidP="00DD75CA">
      <w:pPr>
        <w:keepNext/>
        <w:spacing w:before="240" w:after="60" w:line="240" w:lineRule="auto"/>
        <w:jc w:val="center"/>
        <w:outlineLvl w:val="0"/>
        <w:rPr>
          <w:rFonts w:ascii="Arial Narrow" w:eastAsia="Times New Roman" w:hAnsi="Arial Narrow" w:cs="Arial"/>
          <w:b/>
          <w:bCs/>
          <w:kern w:val="32"/>
          <w:sz w:val="32"/>
          <w:szCs w:val="32"/>
          <w:lang w:eastAsia="sk-SK"/>
        </w:rPr>
      </w:pPr>
      <w:r w:rsidRPr="00DD75CA">
        <w:rPr>
          <w:rFonts w:ascii="Arial Narrow" w:eastAsia="Times New Roman" w:hAnsi="Arial Narrow" w:cs="Arial"/>
          <w:b/>
          <w:bCs/>
          <w:kern w:val="32"/>
          <w:sz w:val="32"/>
          <w:szCs w:val="32"/>
          <w:lang w:eastAsia="sk-SK"/>
        </w:rPr>
        <w:t>UZNESENIE č. .../2013</w:t>
      </w:r>
    </w:p>
    <w:p w:rsidR="00DD75CA" w:rsidRPr="00DD75CA" w:rsidRDefault="00DD75CA" w:rsidP="00DD75CA">
      <w:pPr>
        <w:spacing w:after="0" w:line="240" w:lineRule="auto"/>
        <w:jc w:val="center"/>
        <w:rPr>
          <w:rFonts w:ascii="Arial Narrow" w:eastAsia="Times New Roman" w:hAnsi="Arial Narrow" w:cs="Arial"/>
          <w:sz w:val="24"/>
          <w:szCs w:val="24"/>
          <w:lang w:eastAsia="cs-CZ"/>
        </w:rPr>
      </w:pPr>
      <w:r w:rsidRPr="00DD75CA">
        <w:rPr>
          <w:rFonts w:ascii="Arial Narrow" w:eastAsia="Times New Roman" w:hAnsi="Arial Narrow" w:cs="Arial"/>
          <w:sz w:val="24"/>
          <w:szCs w:val="24"/>
          <w:lang w:eastAsia="cs-CZ"/>
        </w:rPr>
        <w:t xml:space="preserve">zo dňa </w:t>
      </w:r>
      <w:r w:rsidR="00CD19FD">
        <w:rPr>
          <w:rFonts w:ascii="Arial Narrow" w:eastAsia="Times New Roman" w:hAnsi="Arial Narrow" w:cs="Arial"/>
          <w:sz w:val="24"/>
          <w:szCs w:val="24"/>
          <w:lang w:eastAsia="cs-CZ"/>
        </w:rPr>
        <w:t>21</w:t>
      </w:r>
      <w:r w:rsidRPr="00DD75CA">
        <w:rPr>
          <w:rFonts w:ascii="Arial Narrow" w:eastAsia="Times New Roman" w:hAnsi="Arial Narrow" w:cs="Arial"/>
          <w:sz w:val="24"/>
          <w:szCs w:val="24"/>
          <w:lang w:eastAsia="cs-CZ"/>
        </w:rPr>
        <w:t>.</w:t>
      </w:r>
      <w:r w:rsidR="00CD19FD">
        <w:rPr>
          <w:rFonts w:ascii="Arial Narrow" w:eastAsia="Times New Roman" w:hAnsi="Arial Narrow" w:cs="Arial"/>
          <w:sz w:val="24"/>
          <w:szCs w:val="24"/>
          <w:lang w:eastAsia="cs-CZ"/>
        </w:rPr>
        <w:t>6</w:t>
      </w:r>
      <w:r w:rsidRPr="00DD75CA">
        <w:rPr>
          <w:rFonts w:ascii="Arial Narrow" w:eastAsia="Times New Roman" w:hAnsi="Arial Narrow" w:cs="Arial"/>
          <w:sz w:val="24"/>
          <w:szCs w:val="24"/>
          <w:lang w:eastAsia="cs-CZ"/>
        </w:rPr>
        <w:t>.2013</w:t>
      </w:r>
    </w:p>
    <w:p w:rsidR="00DD75CA" w:rsidRPr="00DD75CA" w:rsidRDefault="00DD75CA" w:rsidP="00DD75CA">
      <w:pPr>
        <w:spacing w:after="0" w:line="240" w:lineRule="auto"/>
        <w:jc w:val="center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DD75CA" w:rsidRPr="00DD75CA" w:rsidRDefault="00DD75CA" w:rsidP="00DD75CA">
      <w:pPr>
        <w:spacing w:after="0" w:line="240" w:lineRule="auto"/>
        <w:jc w:val="center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DD75CA" w:rsidRPr="00DD75CA" w:rsidRDefault="00DD75CA" w:rsidP="00DD75CA">
      <w:pPr>
        <w:spacing w:after="0" w:line="240" w:lineRule="auto"/>
        <w:jc w:val="center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DD75CA" w:rsidRPr="00DD75CA" w:rsidRDefault="00DD75CA" w:rsidP="00DD75CA">
      <w:pPr>
        <w:spacing w:after="0" w:line="240" w:lineRule="auto"/>
        <w:jc w:val="center"/>
        <w:rPr>
          <w:rFonts w:ascii="Arial Narrow" w:eastAsia="Times New Roman" w:hAnsi="Arial Narrow" w:cs="Arial"/>
          <w:sz w:val="24"/>
          <w:szCs w:val="24"/>
          <w:lang w:eastAsia="cs-CZ"/>
        </w:rPr>
      </w:pPr>
      <w:r w:rsidRPr="00DD75CA">
        <w:rPr>
          <w:rFonts w:ascii="Arial Narrow" w:eastAsia="Times New Roman" w:hAnsi="Arial Narrow" w:cs="Arial"/>
          <w:sz w:val="24"/>
          <w:szCs w:val="24"/>
          <w:lang w:eastAsia="cs-CZ"/>
        </w:rPr>
        <w:t>Zastupiteľstvo Bratislavského samosprávneho kraja po prerokovaní materiálu</w:t>
      </w:r>
    </w:p>
    <w:p w:rsidR="00DD75CA" w:rsidRPr="00DD75CA" w:rsidRDefault="00DD75CA" w:rsidP="00DD75CA">
      <w:pPr>
        <w:spacing w:after="0" w:line="240" w:lineRule="auto"/>
        <w:jc w:val="center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DD75CA" w:rsidRPr="00DD75CA" w:rsidRDefault="00DD75CA" w:rsidP="00DD75CA">
      <w:pPr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DD75CA" w:rsidRPr="00DD75CA" w:rsidRDefault="00DD75CA" w:rsidP="00DD75CA">
      <w:pPr>
        <w:spacing w:after="0" w:line="240" w:lineRule="auto"/>
        <w:jc w:val="center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DD75CA" w:rsidRPr="00DD75CA" w:rsidRDefault="00DD75CA" w:rsidP="00DD75CA">
      <w:pPr>
        <w:tabs>
          <w:tab w:val="decimal" w:pos="8460"/>
        </w:tabs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DD75CA" w:rsidRPr="00DD75CA" w:rsidRDefault="00CD19FD" w:rsidP="00CD19F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sk-SK"/>
        </w:rPr>
      </w:pPr>
      <w:r>
        <w:rPr>
          <w:rFonts w:ascii="Arial Narrow" w:eastAsia="Times New Roman" w:hAnsi="Arial Narrow" w:cs="Arial"/>
          <w:b/>
          <w:bCs/>
          <w:sz w:val="24"/>
          <w:szCs w:val="24"/>
          <w:lang w:eastAsia="sk-SK"/>
        </w:rPr>
        <w:t>b e r i e    n a       v e d o m i e</w:t>
      </w:r>
    </w:p>
    <w:p w:rsidR="00DD75CA" w:rsidRPr="00DD75CA" w:rsidRDefault="00DD75CA" w:rsidP="00DD75CA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D19FD" w:rsidRDefault="00CD19FD" w:rsidP="00CD19FD">
      <w:pPr>
        <w:spacing w:after="0" w:line="360" w:lineRule="auto"/>
        <w:ind w:firstLine="539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D19FD" w:rsidRDefault="00CD19FD" w:rsidP="00CD19FD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sk-SK"/>
        </w:rPr>
      </w:pPr>
      <w:r w:rsidRPr="00CD19FD">
        <w:rPr>
          <w:rFonts w:ascii="Arial Narrow" w:eastAsia="Times New Roman" w:hAnsi="Arial Narrow" w:cs="Arial"/>
          <w:sz w:val="24"/>
          <w:szCs w:val="24"/>
          <w:lang w:eastAsia="sk-SK"/>
        </w:rPr>
        <w:t>Informáci</w:t>
      </w:r>
      <w:r>
        <w:rPr>
          <w:rFonts w:ascii="Arial Narrow" w:eastAsia="Times New Roman" w:hAnsi="Arial Narrow" w:cs="Arial"/>
          <w:sz w:val="24"/>
          <w:szCs w:val="24"/>
          <w:lang w:eastAsia="sk-SK"/>
        </w:rPr>
        <w:t>u</w:t>
      </w:r>
      <w:r w:rsidRPr="00CD19FD">
        <w:rPr>
          <w:rFonts w:ascii="Arial Narrow" w:eastAsia="Times New Roman" w:hAnsi="Arial Narrow" w:cs="Arial"/>
          <w:sz w:val="24"/>
          <w:szCs w:val="24"/>
          <w:lang w:eastAsia="sk-SK"/>
        </w:rPr>
        <w:t xml:space="preserve"> o prerozdelení dane z príjmov fyzických osôb a dane z motorových vozidiel v rámci vyšších územných celkov v roku 2012</w:t>
      </w:r>
    </w:p>
    <w:p w:rsidR="00CD19FD" w:rsidRDefault="00CD19FD" w:rsidP="00CD19FD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D19FD" w:rsidRDefault="00CD19FD" w:rsidP="00CD19FD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D19FD" w:rsidRDefault="00CD19FD" w:rsidP="00CD19FD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D19FD" w:rsidRDefault="00CD19FD" w:rsidP="00CD19FD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D19FD" w:rsidRDefault="00CD19FD" w:rsidP="00CD19FD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D19FD" w:rsidRDefault="00CD19FD" w:rsidP="00CD19FD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D19FD" w:rsidRDefault="00CD19FD" w:rsidP="00CD19FD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D19FD" w:rsidRDefault="00CD19FD" w:rsidP="00CD19FD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D19FD" w:rsidRDefault="00CD19FD" w:rsidP="00CD19FD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D19FD" w:rsidRDefault="00CD19FD" w:rsidP="00CD19FD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D19FD" w:rsidRDefault="00CD19FD" w:rsidP="00CD19FD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D19FD" w:rsidRDefault="00CD19FD" w:rsidP="00CD19FD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D19FD" w:rsidRDefault="00CD19FD" w:rsidP="00CD19FD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D19FD" w:rsidRDefault="00CD19FD" w:rsidP="00CD19FD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D19FD" w:rsidRDefault="00CD19FD" w:rsidP="00CD19FD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D19FD" w:rsidRDefault="00CD19FD" w:rsidP="00CD19FD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D19FD" w:rsidRDefault="00CD19FD" w:rsidP="00CD19FD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D19FD" w:rsidRDefault="00CD19FD" w:rsidP="00CD19FD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D19FD" w:rsidRDefault="00CD19FD" w:rsidP="00CD19FD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D19FD" w:rsidRDefault="00CD19FD" w:rsidP="00CD19FD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D19FD" w:rsidRDefault="00CD19FD" w:rsidP="00CD19FD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DD75CA" w:rsidRPr="00CD19FD" w:rsidRDefault="00DD75CA" w:rsidP="00CD19FD">
      <w:pPr>
        <w:spacing w:after="0" w:line="360" w:lineRule="auto"/>
        <w:jc w:val="center"/>
        <w:rPr>
          <w:rFonts w:ascii="Arial Narrow" w:eastAsia="Times New Roman" w:hAnsi="Arial Narrow" w:cs="Arial"/>
          <w:sz w:val="24"/>
          <w:szCs w:val="24"/>
          <w:lang w:eastAsia="sk-SK"/>
        </w:rPr>
      </w:pPr>
      <w:r w:rsidRPr="00DD75CA">
        <w:rPr>
          <w:rFonts w:ascii="Arial Narrow" w:eastAsia="Times New Roman" w:hAnsi="Arial Narrow" w:cs="Arial"/>
          <w:b/>
          <w:bCs/>
          <w:sz w:val="24"/>
          <w:szCs w:val="24"/>
          <w:lang w:eastAsia="sk-SK"/>
        </w:rPr>
        <w:lastRenderedPageBreak/>
        <w:t>D ô v o d o v á      s p r á v a</w:t>
      </w:r>
    </w:p>
    <w:p w:rsidR="00DD75CA" w:rsidRPr="00DD75CA" w:rsidRDefault="00DD75CA" w:rsidP="00DD75CA">
      <w:pPr>
        <w:spacing w:after="0" w:line="360" w:lineRule="auto"/>
        <w:ind w:firstLine="539"/>
        <w:jc w:val="both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DD75CA" w:rsidRPr="00DD75CA" w:rsidRDefault="00DD75CA" w:rsidP="00DD75CA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  <w:r w:rsidRPr="00DD75CA">
        <w:rPr>
          <w:rFonts w:ascii="Arial Narrow" w:eastAsia="Times New Roman" w:hAnsi="Arial Narrow" w:cs="Arial"/>
          <w:bCs/>
          <w:sz w:val="24"/>
          <w:szCs w:val="24"/>
          <w:lang w:eastAsia="sk-SK"/>
        </w:rPr>
        <w:t xml:space="preserve">Tento materiál je vypracovaný </w:t>
      </w:r>
      <w:r w:rsidR="00CD19FD">
        <w:rPr>
          <w:rFonts w:ascii="Arial Narrow" w:eastAsia="Times New Roman" w:hAnsi="Arial Narrow" w:cs="Arial"/>
          <w:bCs/>
          <w:sz w:val="24"/>
          <w:szCs w:val="24"/>
          <w:lang w:eastAsia="sk-SK"/>
        </w:rPr>
        <w:t xml:space="preserve">na základe uznesenia finančnej komisie BSK zo dňa 27.3.2013, ktorým požiadala </w:t>
      </w:r>
      <w:r w:rsidR="00CD19FD" w:rsidRPr="00CD19FD">
        <w:rPr>
          <w:rFonts w:ascii="Arial Narrow" w:eastAsia="Times New Roman" w:hAnsi="Arial Narrow" w:cs="Arial"/>
          <w:bCs/>
          <w:sz w:val="24"/>
          <w:szCs w:val="24"/>
          <w:lang w:eastAsia="sk-SK"/>
        </w:rPr>
        <w:t>riaditeľa Úradu</w:t>
      </w:r>
      <w:r w:rsidR="00CD19FD">
        <w:rPr>
          <w:rFonts w:ascii="Arial Narrow" w:eastAsia="Times New Roman" w:hAnsi="Arial Narrow" w:cs="Arial"/>
          <w:bCs/>
          <w:sz w:val="24"/>
          <w:szCs w:val="24"/>
          <w:lang w:eastAsia="sk-SK"/>
        </w:rPr>
        <w:t xml:space="preserve"> BSK</w:t>
      </w:r>
      <w:r w:rsidR="00CD19FD" w:rsidRPr="00CD19FD">
        <w:rPr>
          <w:rFonts w:ascii="Arial Narrow" w:eastAsia="Times New Roman" w:hAnsi="Arial Narrow" w:cs="Arial"/>
          <w:bCs/>
          <w:sz w:val="24"/>
          <w:szCs w:val="24"/>
          <w:lang w:eastAsia="sk-SK"/>
        </w:rPr>
        <w:t xml:space="preserve"> pripraviť do Zastupiteľstva BSK informatívny materiál o prerozdelení </w:t>
      </w:r>
      <w:r w:rsidR="00CD19FD">
        <w:rPr>
          <w:rFonts w:ascii="Arial Narrow" w:eastAsia="Times New Roman" w:hAnsi="Arial Narrow" w:cs="Arial"/>
          <w:bCs/>
          <w:sz w:val="24"/>
          <w:szCs w:val="24"/>
          <w:lang w:eastAsia="sk-SK"/>
        </w:rPr>
        <w:t>daňových príjmov</w:t>
      </w:r>
      <w:r w:rsidR="00CD19FD" w:rsidRPr="00CD19FD">
        <w:rPr>
          <w:rFonts w:ascii="Arial Narrow" w:eastAsia="Times New Roman" w:hAnsi="Arial Narrow" w:cs="Arial"/>
          <w:bCs/>
          <w:sz w:val="24"/>
          <w:szCs w:val="24"/>
          <w:lang w:eastAsia="sk-SK"/>
        </w:rPr>
        <w:t xml:space="preserve"> medzi VUC</w:t>
      </w:r>
      <w:r w:rsidR="00CD19FD">
        <w:rPr>
          <w:rFonts w:ascii="Arial Narrow" w:eastAsia="Times New Roman" w:hAnsi="Arial Narrow" w:cs="Arial"/>
          <w:bCs/>
          <w:sz w:val="24"/>
          <w:szCs w:val="24"/>
          <w:lang w:eastAsia="sk-SK"/>
        </w:rPr>
        <w:t xml:space="preserve">. </w:t>
      </w:r>
    </w:p>
    <w:p w:rsidR="00CD19FD" w:rsidRDefault="00CD19FD" w:rsidP="00DD75CA">
      <w:pPr>
        <w:jc w:val="center"/>
        <w:rPr>
          <w:b/>
          <w:sz w:val="26"/>
          <w:szCs w:val="26"/>
        </w:rPr>
      </w:pPr>
    </w:p>
    <w:p w:rsidR="00CD19FD" w:rsidRDefault="00CD19FD" w:rsidP="00DD75CA">
      <w:pPr>
        <w:jc w:val="center"/>
        <w:rPr>
          <w:b/>
          <w:sz w:val="26"/>
          <w:szCs w:val="26"/>
        </w:rPr>
      </w:pPr>
    </w:p>
    <w:p w:rsidR="00CD19FD" w:rsidRDefault="00CD19FD" w:rsidP="00DD75CA">
      <w:pPr>
        <w:jc w:val="center"/>
        <w:rPr>
          <w:b/>
          <w:sz w:val="26"/>
          <w:szCs w:val="26"/>
        </w:rPr>
      </w:pPr>
    </w:p>
    <w:p w:rsidR="00CD19FD" w:rsidRDefault="00CD19FD" w:rsidP="00DD75CA">
      <w:pPr>
        <w:jc w:val="center"/>
        <w:rPr>
          <w:b/>
          <w:sz w:val="26"/>
          <w:szCs w:val="26"/>
        </w:rPr>
      </w:pPr>
    </w:p>
    <w:p w:rsidR="00CD19FD" w:rsidRDefault="00CD19FD" w:rsidP="00DD75CA">
      <w:pPr>
        <w:jc w:val="center"/>
        <w:rPr>
          <w:b/>
          <w:sz w:val="26"/>
          <w:szCs w:val="26"/>
        </w:rPr>
      </w:pPr>
    </w:p>
    <w:p w:rsidR="00CD19FD" w:rsidRDefault="00CD19FD" w:rsidP="00DD75CA">
      <w:pPr>
        <w:jc w:val="center"/>
        <w:rPr>
          <w:b/>
          <w:sz w:val="26"/>
          <w:szCs w:val="26"/>
        </w:rPr>
      </w:pPr>
    </w:p>
    <w:p w:rsidR="00CD19FD" w:rsidRDefault="00CD19FD" w:rsidP="00DD75CA">
      <w:pPr>
        <w:jc w:val="center"/>
        <w:rPr>
          <w:b/>
          <w:sz w:val="26"/>
          <w:szCs w:val="26"/>
        </w:rPr>
      </w:pPr>
    </w:p>
    <w:p w:rsidR="00CD19FD" w:rsidRDefault="00CD19FD" w:rsidP="00DD75CA">
      <w:pPr>
        <w:jc w:val="center"/>
        <w:rPr>
          <w:b/>
          <w:sz w:val="26"/>
          <w:szCs w:val="26"/>
        </w:rPr>
      </w:pPr>
    </w:p>
    <w:p w:rsidR="00CD19FD" w:rsidRDefault="00CD19FD" w:rsidP="00DD75CA">
      <w:pPr>
        <w:jc w:val="center"/>
        <w:rPr>
          <w:b/>
          <w:sz w:val="26"/>
          <w:szCs w:val="26"/>
        </w:rPr>
      </w:pPr>
    </w:p>
    <w:p w:rsidR="00CD19FD" w:rsidRDefault="00CD19FD" w:rsidP="00DD75CA">
      <w:pPr>
        <w:jc w:val="center"/>
        <w:rPr>
          <w:b/>
          <w:sz w:val="26"/>
          <w:szCs w:val="26"/>
        </w:rPr>
      </w:pPr>
    </w:p>
    <w:p w:rsidR="00CD19FD" w:rsidRDefault="00CD19FD" w:rsidP="00DD75CA">
      <w:pPr>
        <w:jc w:val="center"/>
        <w:rPr>
          <w:b/>
          <w:sz w:val="26"/>
          <w:szCs w:val="26"/>
        </w:rPr>
      </w:pPr>
    </w:p>
    <w:p w:rsidR="00CD19FD" w:rsidRDefault="00CD19FD" w:rsidP="00DD75CA">
      <w:pPr>
        <w:jc w:val="center"/>
        <w:rPr>
          <w:b/>
          <w:sz w:val="26"/>
          <w:szCs w:val="26"/>
        </w:rPr>
      </w:pPr>
    </w:p>
    <w:p w:rsidR="00CD19FD" w:rsidRDefault="00CD19FD" w:rsidP="00DD75CA">
      <w:pPr>
        <w:jc w:val="center"/>
        <w:rPr>
          <w:b/>
          <w:sz w:val="26"/>
          <w:szCs w:val="26"/>
        </w:rPr>
      </w:pPr>
    </w:p>
    <w:p w:rsidR="00CD19FD" w:rsidRDefault="00CD19FD" w:rsidP="00DD75CA">
      <w:pPr>
        <w:jc w:val="center"/>
        <w:rPr>
          <w:b/>
          <w:sz w:val="26"/>
          <w:szCs w:val="26"/>
        </w:rPr>
      </w:pPr>
    </w:p>
    <w:p w:rsidR="00CD19FD" w:rsidRDefault="00CD19FD" w:rsidP="00DD75CA">
      <w:pPr>
        <w:jc w:val="center"/>
        <w:rPr>
          <w:b/>
          <w:sz w:val="26"/>
          <w:szCs w:val="26"/>
        </w:rPr>
      </w:pPr>
    </w:p>
    <w:p w:rsidR="00CD19FD" w:rsidRDefault="00CD19FD" w:rsidP="00DD75CA">
      <w:pPr>
        <w:jc w:val="center"/>
        <w:rPr>
          <w:b/>
          <w:sz w:val="26"/>
          <w:szCs w:val="26"/>
        </w:rPr>
      </w:pPr>
    </w:p>
    <w:p w:rsidR="00CD19FD" w:rsidRDefault="00CD19FD" w:rsidP="00DD75CA">
      <w:pPr>
        <w:jc w:val="center"/>
        <w:rPr>
          <w:b/>
          <w:sz w:val="26"/>
          <w:szCs w:val="26"/>
        </w:rPr>
      </w:pPr>
    </w:p>
    <w:p w:rsidR="00CD19FD" w:rsidRDefault="00CD19FD" w:rsidP="00DD75CA">
      <w:pPr>
        <w:jc w:val="center"/>
        <w:rPr>
          <w:b/>
          <w:sz w:val="26"/>
          <w:szCs w:val="26"/>
        </w:rPr>
      </w:pPr>
    </w:p>
    <w:p w:rsidR="00CD19FD" w:rsidRDefault="00CD19FD" w:rsidP="00DD75CA">
      <w:pPr>
        <w:jc w:val="center"/>
        <w:rPr>
          <w:b/>
          <w:sz w:val="26"/>
          <w:szCs w:val="26"/>
        </w:rPr>
      </w:pPr>
    </w:p>
    <w:p w:rsidR="00CD19FD" w:rsidRDefault="00CD19FD" w:rsidP="00DD75CA">
      <w:pPr>
        <w:jc w:val="center"/>
        <w:rPr>
          <w:b/>
          <w:sz w:val="26"/>
          <w:szCs w:val="26"/>
        </w:rPr>
      </w:pPr>
    </w:p>
    <w:p w:rsidR="003C27A2" w:rsidRDefault="003C27A2" w:rsidP="003C27A2">
      <w:pPr>
        <w:rPr>
          <w:b/>
        </w:rPr>
      </w:pPr>
    </w:p>
    <w:p w:rsidR="003C27A2" w:rsidRPr="003C27A2" w:rsidRDefault="003C27A2" w:rsidP="003C27A2">
      <w:pPr>
        <w:jc w:val="center"/>
        <w:rPr>
          <w:b/>
          <w:sz w:val="28"/>
          <w:szCs w:val="24"/>
        </w:rPr>
      </w:pPr>
      <w:r w:rsidRPr="003C27A2">
        <w:rPr>
          <w:b/>
          <w:sz w:val="28"/>
          <w:szCs w:val="24"/>
        </w:rPr>
        <w:lastRenderedPageBreak/>
        <w:t xml:space="preserve">Informácia o prerozdelení dane z príjmov </w:t>
      </w:r>
      <w:r>
        <w:rPr>
          <w:b/>
          <w:sz w:val="28"/>
          <w:szCs w:val="24"/>
        </w:rPr>
        <w:t xml:space="preserve">fyzických osôb </w:t>
      </w:r>
      <w:r w:rsidRPr="003C27A2">
        <w:rPr>
          <w:b/>
          <w:sz w:val="28"/>
          <w:szCs w:val="24"/>
        </w:rPr>
        <w:t xml:space="preserve"> a dane z motorových vozidiel v rámci VÚC</w:t>
      </w:r>
      <w:r>
        <w:rPr>
          <w:b/>
          <w:sz w:val="28"/>
          <w:szCs w:val="24"/>
        </w:rPr>
        <w:t xml:space="preserve"> v roku 2012</w:t>
      </w:r>
    </w:p>
    <w:p w:rsidR="003C27A2" w:rsidRDefault="003C27A2" w:rsidP="003C27A2">
      <w:pPr>
        <w:rPr>
          <w:b/>
        </w:rPr>
      </w:pPr>
    </w:p>
    <w:p w:rsidR="003C27A2" w:rsidRPr="003C27A2" w:rsidRDefault="003C27A2" w:rsidP="003C27A2">
      <w:pPr>
        <w:rPr>
          <w:b/>
          <w:sz w:val="24"/>
          <w:szCs w:val="24"/>
        </w:rPr>
      </w:pPr>
      <w:r w:rsidRPr="003C27A2">
        <w:rPr>
          <w:b/>
          <w:sz w:val="24"/>
          <w:szCs w:val="24"/>
        </w:rPr>
        <w:t>Stručná charakteristika daňových príjmov VÚC</w:t>
      </w:r>
    </w:p>
    <w:p w:rsidR="003C27A2" w:rsidRDefault="003C27A2" w:rsidP="003C27A2">
      <w:pPr>
        <w:ind w:firstLine="708"/>
        <w:jc w:val="both"/>
      </w:pPr>
      <w:r>
        <w:t>Daňové príjmy predstavujú najdôležitejší zdroj príjmov vyšších územných celkov (ďalej len „VÚC“)  slúžiaci na financovanie ich originálnych kompetencií vyplývajúcich zo zákona č. 302/2001 Z.z. o samospráve VÚC v znení neskorších predpisov. VÚC majú dva druhy daňových príjmov:</w:t>
      </w:r>
    </w:p>
    <w:p w:rsidR="003C27A2" w:rsidRDefault="003C27A2" w:rsidP="003C27A2">
      <w:pPr>
        <w:rPr>
          <w:b/>
          <w:i/>
        </w:rPr>
      </w:pPr>
      <w:r w:rsidRPr="00E82270">
        <w:rPr>
          <w:b/>
          <w:i/>
        </w:rPr>
        <w:t>Daň z motorových vozidiel</w:t>
      </w:r>
    </w:p>
    <w:p w:rsidR="003C27A2" w:rsidRPr="00B557C5" w:rsidRDefault="003C27A2" w:rsidP="003C27A2">
      <w:pPr>
        <w:ind w:firstLine="708"/>
        <w:jc w:val="both"/>
        <w:rPr>
          <w:b/>
          <w:i/>
        </w:rPr>
      </w:pPr>
      <w:r>
        <w:t xml:space="preserve">Daň z motorových vozidiel je zaradená do systému miestnych daní na základe zákona č. 582/2004 Z.z. </w:t>
      </w:r>
      <w:r w:rsidRPr="00A136F7">
        <w:t>o miestnych daniach a miestnom poplatku za komunálne odpady a drobné stavebné odpady</w:t>
      </w:r>
      <w:r>
        <w:t xml:space="preserve">. </w:t>
      </w:r>
      <w:r w:rsidRPr="00B557C5">
        <w:t xml:space="preserve">Predmetom dane z motorových vozidiel </w:t>
      </w:r>
      <w:r>
        <w:t xml:space="preserve">(ďalej len „DMV“) </w:t>
      </w:r>
      <w:r w:rsidRPr="00B557C5">
        <w:t>je vozidlo</w:t>
      </w:r>
      <w:r>
        <w:t>,</w:t>
      </w:r>
      <w:r w:rsidRPr="00B557C5">
        <w:t xml:space="preserve"> ktoré sa </w:t>
      </w:r>
      <w:r w:rsidRPr="00B557C5">
        <w:rPr>
          <w:rStyle w:val="Siln"/>
          <w:b w:val="0"/>
        </w:rPr>
        <w:t>používa</w:t>
      </w:r>
      <w:r w:rsidRPr="00B557C5">
        <w:t xml:space="preserve"> v Slovenskej republike </w:t>
      </w:r>
      <w:r w:rsidRPr="00B557C5">
        <w:rPr>
          <w:rStyle w:val="Siln"/>
          <w:b w:val="0"/>
        </w:rPr>
        <w:t>na podnikanie alebo na činnosti, z ktorých plynúce príjmy sú predmetom dane z príjmov. VÚC určujú prostredníctvom všeobecne záväzného nariadenia jednotlivé sadzby dane pre všetky kategórie vozidiel. Výnos z tejto dane je v plnej výške súčasťou príjmov jednotlivých VÚC. Každý daňovník odvádza túto daň podľa miesta registrácie príslušného vozidla.</w:t>
      </w:r>
    </w:p>
    <w:p w:rsidR="003C27A2" w:rsidRDefault="003C27A2" w:rsidP="003C27A2">
      <w:pPr>
        <w:rPr>
          <w:b/>
          <w:i/>
        </w:rPr>
      </w:pPr>
      <w:r w:rsidRPr="00E82270">
        <w:rPr>
          <w:b/>
          <w:i/>
        </w:rPr>
        <w:t>Daň z príjmov fyzických osôb</w:t>
      </w:r>
    </w:p>
    <w:p w:rsidR="003C27A2" w:rsidRDefault="003C27A2" w:rsidP="003C27A2">
      <w:pPr>
        <w:ind w:firstLine="708"/>
        <w:jc w:val="both"/>
      </w:pPr>
      <w:r>
        <w:t xml:space="preserve">Vyplýva zo zákona č. 595/2003 Z.z. o dani z príjmov. </w:t>
      </w:r>
      <w:r w:rsidRPr="00C06897">
        <w:t xml:space="preserve">Touto daňou sú zdanené fyzické osoby, ktoré dosahujú príjmy podliehajúce tejto dani. </w:t>
      </w:r>
      <w:r>
        <w:t xml:space="preserve">Daň z príjmov fyzických osôb (ďalej len DPFO) je vyberaná na centrálnej úrovni a následne je prerozdelená medzi subjekty verejnej správy na základe zákona č. 564/2004 Z.z. </w:t>
      </w:r>
      <w:r w:rsidRPr="00A77D83">
        <w:t>o rozpočtovom určení výnosu dane z príjmov územnej samospráve</w:t>
      </w:r>
      <w:r>
        <w:t xml:space="preserve"> a to v pomere 65,4% pre obce, 21,9% pre VÚC a zostatok 12,7% zostáva v štátnom rozpočte. V rámci VÚC sa ďalej táto daň delí na základe nariadenia vlády č. 668/2004 </w:t>
      </w:r>
      <w:r w:rsidRPr="00A77D83">
        <w:t xml:space="preserve">o rozdeľovaní výnosu dane z príjmov územnej samospráve </w:t>
      </w:r>
      <w:r>
        <w:t xml:space="preserve">podľa kľúča uvedeného </w:t>
      </w:r>
      <w:r w:rsidR="00697926">
        <w:t>nižšie</w:t>
      </w:r>
      <w:r>
        <w:t>.</w:t>
      </w:r>
    </w:p>
    <w:p w:rsidR="003C27A2" w:rsidRDefault="003C27A2" w:rsidP="003C27A2">
      <w:pPr>
        <w:jc w:val="both"/>
      </w:pPr>
    </w:p>
    <w:p w:rsidR="003C27A2" w:rsidRPr="003C27A2" w:rsidRDefault="003C27A2" w:rsidP="003C27A2">
      <w:pPr>
        <w:rPr>
          <w:b/>
          <w:sz w:val="24"/>
          <w:szCs w:val="24"/>
        </w:rPr>
      </w:pPr>
      <w:r w:rsidRPr="003C27A2">
        <w:rPr>
          <w:b/>
          <w:sz w:val="24"/>
          <w:szCs w:val="24"/>
        </w:rPr>
        <w:t>Porovnanie skutočných príjmov jednotlivých VÚC za rok 2012</w:t>
      </w:r>
    </w:p>
    <w:p w:rsidR="003C27A2" w:rsidRDefault="003C27A2" w:rsidP="003C27A2">
      <w:pPr>
        <w:ind w:firstLine="708"/>
      </w:pPr>
      <w:r>
        <w:t>Jednotlivé VÚC dosiahli v roku 2012 nasledovné daňové príjmy (v tis. EUR):</w:t>
      </w:r>
    </w:p>
    <w:tbl>
      <w:tblPr>
        <w:tblW w:w="8662" w:type="dxa"/>
        <w:jc w:val="center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0"/>
        <w:gridCol w:w="1500"/>
        <w:gridCol w:w="1540"/>
        <w:gridCol w:w="2040"/>
        <w:gridCol w:w="1902"/>
      </w:tblGrid>
      <w:tr w:rsidR="003C27A2" w:rsidRPr="000B6738" w:rsidTr="000B764A">
        <w:trPr>
          <w:trHeight w:val="255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3C27A2" w:rsidRPr="000B6738" w:rsidRDefault="003C27A2" w:rsidP="000B76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k-SK"/>
              </w:rPr>
            </w:pPr>
            <w:r w:rsidRPr="000B6738">
              <w:rPr>
                <w:rFonts w:ascii="Calibri" w:eastAsia="Times New Roman" w:hAnsi="Calibri" w:cs="Calibri"/>
                <w:b/>
                <w:sz w:val="20"/>
                <w:szCs w:val="20"/>
                <w:lang w:eastAsia="sk-SK"/>
              </w:rPr>
              <w:t>Kraj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3C27A2" w:rsidRPr="000B6738" w:rsidRDefault="003C27A2" w:rsidP="000B76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k-SK"/>
              </w:rPr>
            </w:pPr>
            <w:r w:rsidRPr="000B6738">
              <w:rPr>
                <w:rFonts w:ascii="Calibri" w:eastAsia="Times New Roman" w:hAnsi="Calibri" w:cs="Calibri"/>
                <w:b/>
                <w:sz w:val="20"/>
                <w:szCs w:val="20"/>
                <w:lang w:eastAsia="sk-SK"/>
              </w:rPr>
              <w:t>DMV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3C27A2" w:rsidRPr="000B6738" w:rsidRDefault="003C27A2" w:rsidP="000B76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k-SK"/>
              </w:rPr>
            </w:pPr>
            <w:r w:rsidRPr="000B6738">
              <w:rPr>
                <w:rFonts w:ascii="Calibri" w:eastAsia="Times New Roman" w:hAnsi="Calibri" w:cs="Calibri"/>
                <w:b/>
                <w:sz w:val="20"/>
                <w:szCs w:val="20"/>
                <w:lang w:eastAsia="sk-SK"/>
              </w:rPr>
              <w:t>DPFO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3C27A2" w:rsidRPr="000B6738" w:rsidRDefault="003C27A2" w:rsidP="000B76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k-SK"/>
              </w:rPr>
            </w:pPr>
            <w:r w:rsidRPr="000B6738">
              <w:rPr>
                <w:rFonts w:ascii="Calibri" w:eastAsia="Times New Roman" w:hAnsi="Calibri" w:cs="Calibri"/>
                <w:b/>
                <w:sz w:val="20"/>
                <w:szCs w:val="20"/>
                <w:lang w:eastAsia="sk-SK"/>
              </w:rPr>
              <w:t>Daňové príjmy celkom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3C27A2" w:rsidRPr="000B6738" w:rsidRDefault="003C27A2" w:rsidP="000B76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k-SK"/>
              </w:rPr>
            </w:pPr>
            <w:r w:rsidRPr="000B6738">
              <w:rPr>
                <w:rFonts w:ascii="Calibri" w:eastAsia="Times New Roman" w:hAnsi="Calibri" w:cs="Calibri"/>
                <w:b/>
                <w:sz w:val="20"/>
                <w:szCs w:val="20"/>
                <w:lang w:eastAsia="sk-SK"/>
              </w:rPr>
              <w:t>Rozdiel oproti BSK</w:t>
            </w:r>
          </w:p>
        </w:tc>
      </w:tr>
      <w:tr w:rsidR="003C27A2" w:rsidRPr="00595870" w:rsidTr="000B764A">
        <w:trPr>
          <w:trHeight w:val="255"/>
          <w:jc w:val="center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A2" w:rsidRPr="00595870" w:rsidRDefault="003C27A2" w:rsidP="000B764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595870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Banskobystrický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A2" w:rsidRPr="00595870" w:rsidRDefault="003C27A2" w:rsidP="000B76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595870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12 620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A2" w:rsidRPr="00595870" w:rsidRDefault="003C27A2" w:rsidP="000B76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59587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59 832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A2" w:rsidRPr="00595870" w:rsidRDefault="003C27A2" w:rsidP="000B76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595870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72 452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A2" w:rsidRPr="00595870" w:rsidRDefault="003C27A2" w:rsidP="000B76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+</w:t>
            </w:r>
            <w:r w:rsidRPr="00595870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6 690</w:t>
            </w:r>
          </w:p>
        </w:tc>
      </w:tr>
      <w:tr w:rsidR="003C27A2" w:rsidRPr="00595870" w:rsidTr="000B764A">
        <w:trPr>
          <w:trHeight w:val="255"/>
          <w:jc w:val="center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A2" w:rsidRPr="00595870" w:rsidRDefault="003C27A2" w:rsidP="000B764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595870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Bratislavský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A2" w:rsidRPr="00595870" w:rsidRDefault="003C27A2" w:rsidP="000B76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595870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33 346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A2" w:rsidRPr="00595870" w:rsidRDefault="003C27A2" w:rsidP="000B76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595870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32 416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A2" w:rsidRPr="00595870" w:rsidRDefault="003C27A2" w:rsidP="000B76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595870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65 762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A2" w:rsidRPr="00595870" w:rsidRDefault="003C27A2" w:rsidP="000B76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---</w:t>
            </w:r>
          </w:p>
        </w:tc>
      </w:tr>
      <w:tr w:rsidR="003C27A2" w:rsidRPr="00595870" w:rsidTr="000B764A">
        <w:trPr>
          <w:trHeight w:val="255"/>
          <w:jc w:val="center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A2" w:rsidRPr="00595870" w:rsidRDefault="003C27A2" w:rsidP="000B764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595870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Košický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A2" w:rsidRPr="00595870" w:rsidRDefault="003C27A2" w:rsidP="000B76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59587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12 296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A2" w:rsidRPr="00595870" w:rsidRDefault="003C27A2" w:rsidP="000B76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59587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55 396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A2" w:rsidRPr="00595870" w:rsidRDefault="003C27A2" w:rsidP="000B76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595870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67 692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A2" w:rsidRPr="00595870" w:rsidRDefault="003C27A2" w:rsidP="000B76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+</w:t>
            </w:r>
            <w:r w:rsidRPr="00595870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1 930</w:t>
            </w:r>
          </w:p>
        </w:tc>
      </w:tr>
      <w:tr w:rsidR="003C27A2" w:rsidRPr="00595870" w:rsidTr="000B764A">
        <w:trPr>
          <w:trHeight w:val="255"/>
          <w:jc w:val="center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A2" w:rsidRPr="00595870" w:rsidRDefault="003C27A2" w:rsidP="000B764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595870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Nitriansky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A2" w:rsidRPr="00595870" w:rsidRDefault="003C27A2" w:rsidP="000B76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595870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18 027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A2" w:rsidRPr="00595870" w:rsidRDefault="003C27A2" w:rsidP="000B76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59587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53 951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A2" w:rsidRPr="00595870" w:rsidRDefault="003C27A2" w:rsidP="000B76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595870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71 978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A2" w:rsidRPr="00595870" w:rsidRDefault="003C27A2" w:rsidP="000B76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+</w:t>
            </w:r>
            <w:r w:rsidRPr="00595870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6 216</w:t>
            </w:r>
          </w:p>
        </w:tc>
      </w:tr>
      <w:tr w:rsidR="003C27A2" w:rsidRPr="00595870" w:rsidTr="000B764A">
        <w:trPr>
          <w:trHeight w:val="255"/>
          <w:jc w:val="center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27A2" w:rsidRPr="00595870" w:rsidRDefault="003C27A2" w:rsidP="000B764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595870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Prešovský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7A2" w:rsidRPr="00595870" w:rsidRDefault="003C27A2" w:rsidP="000B76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595870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13 839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7A2" w:rsidRPr="00595870" w:rsidRDefault="003C27A2" w:rsidP="000B76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59587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63 703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A2" w:rsidRPr="00595870" w:rsidRDefault="003C27A2" w:rsidP="000B76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595870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77 542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A2" w:rsidRPr="00595870" w:rsidRDefault="003C27A2" w:rsidP="000B76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+</w:t>
            </w:r>
            <w:r w:rsidRPr="00595870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11 780</w:t>
            </w:r>
          </w:p>
        </w:tc>
      </w:tr>
      <w:tr w:rsidR="003C27A2" w:rsidRPr="00595870" w:rsidTr="000B764A">
        <w:trPr>
          <w:trHeight w:val="255"/>
          <w:jc w:val="center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A2" w:rsidRPr="00595870" w:rsidRDefault="003C27A2" w:rsidP="000B764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595870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Trenčiansky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A2" w:rsidRPr="00595870" w:rsidRDefault="003C27A2" w:rsidP="000B76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595870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12 918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A2" w:rsidRPr="00595870" w:rsidRDefault="003C27A2" w:rsidP="000B76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59587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44 204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A2" w:rsidRPr="00595870" w:rsidRDefault="003C27A2" w:rsidP="000B76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595870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57 122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A2" w:rsidRPr="00595870" w:rsidRDefault="003C27A2" w:rsidP="000B76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595870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-8 640</w:t>
            </w:r>
          </w:p>
        </w:tc>
      </w:tr>
      <w:tr w:rsidR="003C27A2" w:rsidRPr="00595870" w:rsidTr="000B764A">
        <w:trPr>
          <w:trHeight w:val="255"/>
          <w:jc w:val="center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A2" w:rsidRPr="00595870" w:rsidRDefault="003C27A2" w:rsidP="000B764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595870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Trnavský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A2" w:rsidRPr="00595870" w:rsidRDefault="003C27A2" w:rsidP="000B76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595870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15 286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A2" w:rsidRPr="00595870" w:rsidRDefault="003C27A2" w:rsidP="000B76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595870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40 905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A2" w:rsidRPr="00595870" w:rsidRDefault="003C27A2" w:rsidP="000B76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595870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56 191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A2" w:rsidRPr="00595870" w:rsidRDefault="003C27A2" w:rsidP="000B76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595870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-9 571</w:t>
            </w:r>
          </w:p>
        </w:tc>
      </w:tr>
      <w:tr w:rsidR="003C27A2" w:rsidRPr="00595870" w:rsidTr="000B764A">
        <w:trPr>
          <w:trHeight w:val="255"/>
          <w:jc w:val="center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A2" w:rsidRPr="00595870" w:rsidRDefault="003C27A2" w:rsidP="000B764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595870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Žilinský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A2" w:rsidRPr="00595870" w:rsidRDefault="003C27A2" w:rsidP="000B76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59587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16 293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A2" w:rsidRPr="00595870" w:rsidRDefault="003C27A2" w:rsidP="000B76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59587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50 696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A2" w:rsidRPr="00595870" w:rsidRDefault="003C27A2" w:rsidP="000B76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595870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66 989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A2" w:rsidRPr="00595870" w:rsidRDefault="003C27A2" w:rsidP="000B76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+</w:t>
            </w:r>
            <w:r w:rsidRPr="00595870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1 227</w:t>
            </w:r>
          </w:p>
        </w:tc>
      </w:tr>
    </w:tbl>
    <w:p w:rsidR="003C27A2" w:rsidRPr="00595870" w:rsidRDefault="003C27A2" w:rsidP="003C27A2">
      <w:pPr>
        <w:rPr>
          <w:sz w:val="18"/>
          <w:szCs w:val="18"/>
        </w:rPr>
      </w:pPr>
      <w:r>
        <w:rPr>
          <w:sz w:val="18"/>
          <w:szCs w:val="18"/>
        </w:rPr>
        <w:t xml:space="preserve">     </w:t>
      </w:r>
      <w:r w:rsidRPr="00595870">
        <w:rPr>
          <w:sz w:val="18"/>
          <w:szCs w:val="18"/>
        </w:rPr>
        <w:t>*údaje sumarizoval v priebehu roka Trnavský samosprávny kraj</w:t>
      </w:r>
    </w:p>
    <w:p w:rsidR="003C27A2" w:rsidRDefault="003C27A2" w:rsidP="003C27A2">
      <w:pPr>
        <w:ind w:firstLine="708"/>
        <w:jc w:val="both"/>
        <w:rPr>
          <w:bCs/>
        </w:rPr>
      </w:pPr>
      <w:r>
        <w:t>Tieto údaje odzrkadľujú, koľko daňových príjmov majú jednotlivé VÚC na plnenie svojich originálnych kompetencií</w:t>
      </w:r>
      <w:r w:rsidRPr="00A36E80">
        <w:t xml:space="preserve">. </w:t>
      </w:r>
      <w:r w:rsidRPr="003C27A2">
        <w:rPr>
          <w:b/>
        </w:rPr>
        <w:t>V</w:t>
      </w:r>
      <w:r w:rsidRPr="003C27A2">
        <w:rPr>
          <w:b/>
          <w:bCs/>
        </w:rPr>
        <w:t>ýnosy z oboch druhov daní je nutné posudzovať spoločne</w:t>
      </w:r>
      <w:r w:rsidRPr="00A36E80">
        <w:rPr>
          <w:bCs/>
        </w:rPr>
        <w:t xml:space="preserve"> a vždy brať do </w:t>
      </w:r>
      <w:r w:rsidRPr="00A36E80">
        <w:rPr>
          <w:bCs/>
        </w:rPr>
        <w:lastRenderedPageBreak/>
        <w:t>úvahy, že VÚC financujú z týchto daní viacero kompetencií</w:t>
      </w:r>
      <w:r>
        <w:rPr>
          <w:bCs/>
        </w:rPr>
        <w:t>.</w:t>
      </w:r>
      <w:r w:rsidRPr="00A36E80">
        <w:rPr>
          <w:bCs/>
        </w:rPr>
        <w:t xml:space="preserve"> </w:t>
      </w:r>
      <w:r>
        <w:rPr>
          <w:bCs/>
        </w:rPr>
        <w:t>O</w:t>
      </w:r>
      <w:r w:rsidRPr="00A36E80">
        <w:rPr>
          <w:bCs/>
        </w:rPr>
        <w:t>b</w:t>
      </w:r>
      <w:r>
        <w:rPr>
          <w:bCs/>
        </w:rPr>
        <w:t>a typy</w:t>
      </w:r>
      <w:r w:rsidRPr="00A36E80">
        <w:rPr>
          <w:bCs/>
        </w:rPr>
        <w:t xml:space="preserve"> dan</w:t>
      </w:r>
      <w:r>
        <w:rPr>
          <w:bCs/>
        </w:rPr>
        <w:t>í</w:t>
      </w:r>
      <w:r w:rsidRPr="00A36E80">
        <w:rPr>
          <w:bCs/>
        </w:rPr>
        <w:t xml:space="preserve"> majú </w:t>
      </w:r>
      <w:r>
        <w:rPr>
          <w:bCs/>
        </w:rPr>
        <w:t xml:space="preserve">vzhľadom k plneniu týchto kompetencií </w:t>
      </w:r>
      <w:r w:rsidRPr="00A36E80">
        <w:rPr>
          <w:bCs/>
        </w:rPr>
        <w:t>rovnocenné postavenie</w:t>
      </w:r>
      <w:r>
        <w:rPr>
          <w:bCs/>
        </w:rPr>
        <w:t xml:space="preserve">. </w:t>
      </w:r>
      <w:r>
        <w:t xml:space="preserve">V zmysle nastavenia fiškálnej decentralizácie sa teda </w:t>
      </w:r>
      <w:r w:rsidRPr="003C27A2">
        <w:rPr>
          <w:b/>
        </w:rPr>
        <w:t>výnosy z obidvoch daní berú z pohľadu príjmov VÚC ako celok</w:t>
      </w:r>
      <w:r>
        <w:t xml:space="preserve"> (vyplýva to aj z</w:t>
      </w:r>
      <w:r w:rsidR="00A955BA">
        <w:t> platného členenia</w:t>
      </w:r>
      <w:r>
        <w:t xml:space="preserve"> príjmov </w:t>
      </w:r>
      <w:r w:rsidR="00A955BA">
        <w:t>VÚC z hľadiska zdrojov definovaného</w:t>
      </w:r>
      <w:r>
        <w:t xml:space="preserve"> Ministerstvom financií SR) a sú z nich financované všetky originálne kompetencie.</w:t>
      </w:r>
    </w:p>
    <w:p w:rsidR="003C27A2" w:rsidRDefault="003C27A2" w:rsidP="003C27A2">
      <w:pPr>
        <w:ind w:firstLine="708"/>
        <w:jc w:val="both"/>
      </w:pPr>
      <w:r>
        <w:rPr>
          <w:bCs/>
        </w:rPr>
        <w:t xml:space="preserve">Toto konštatovanie je dôležité spomenúť najmä vzhľadom k faktu, že </w:t>
      </w:r>
      <w:r>
        <w:t xml:space="preserve">v posledných mesiacoch sa neustále ozývajú hlasy z rôznych strán kritizujúce výšku príjmov BSK z dane z motorových vozidiel v porovnaní s ostatnými krajmi. Táto kritika sa opiera o mylnú predstavu, že </w:t>
      </w:r>
      <w:r w:rsidRPr="00A36E80">
        <w:t xml:space="preserve">výnos </w:t>
      </w:r>
      <w:r>
        <w:t>D</w:t>
      </w:r>
      <w:r w:rsidRPr="00A36E80">
        <w:t>MV je určený len na financovanie správy a údržby ciest II. a III. triedy</w:t>
      </w:r>
      <w:r>
        <w:t>. BSK má síce vyšší príjem z DMV, ale zároveň výrazne nižší príjem z DPFO. Preto akékoľvek jednostranné zníženie výnosu DMV jednému kraju (BSK) v prospech ostatných krajov je hrubé narušenie základov fiškálnej decentralizácie a nespravodlivosť.</w:t>
      </w:r>
    </w:p>
    <w:p w:rsidR="003C27A2" w:rsidRDefault="003C27A2" w:rsidP="003C27A2">
      <w:pPr>
        <w:ind w:firstLine="708"/>
        <w:jc w:val="both"/>
      </w:pPr>
      <w:r w:rsidRPr="00AD2F0E">
        <w:t xml:space="preserve">Aj v zmysle hore uvedenej tabuľky je vidieť, že </w:t>
      </w:r>
      <w:r w:rsidRPr="003C27A2">
        <w:rPr>
          <w:b/>
        </w:rPr>
        <w:t>na základe nastavenia parametrov fiškálnej decentralizácie má BSK osobitné postavenie v členení daňových príjmov</w:t>
      </w:r>
      <w:r>
        <w:t>. Kým príjem z DMV je vyšší v porovnaní s ostatnými VÚC, príjem z DPFO je ďaleko nižší. Vyplýva to z nasledovných skutočností:</w:t>
      </w:r>
    </w:p>
    <w:p w:rsidR="003C27A2" w:rsidRDefault="003C27A2" w:rsidP="003C27A2">
      <w:pPr>
        <w:pStyle w:val="Odsekzoznamu"/>
        <w:numPr>
          <w:ilvl w:val="0"/>
          <w:numId w:val="2"/>
        </w:numPr>
        <w:spacing w:line="276" w:lineRule="auto"/>
        <w:ind w:left="714" w:hanging="357"/>
        <w:jc w:val="both"/>
      </w:pPr>
      <w:r>
        <w:t>rozloha BSK je najmenšia spomedzi všetkých VÚC, pričom na základe tohto parametra sa rozdeľuje 9% výnosu DPFO;</w:t>
      </w:r>
    </w:p>
    <w:p w:rsidR="003C27A2" w:rsidRDefault="003C27A2" w:rsidP="003C27A2">
      <w:pPr>
        <w:pStyle w:val="Odsekzoznamu"/>
        <w:numPr>
          <w:ilvl w:val="0"/>
          <w:numId w:val="2"/>
        </w:numPr>
        <w:spacing w:line="276" w:lineRule="auto"/>
        <w:ind w:left="714" w:hanging="357"/>
        <w:jc w:val="both"/>
      </w:pPr>
      <w:r>
        <w:t>takisto obrátená hustota obyvateľstva, na základe ktorej sa prerozdeľuje ďalších 9% výnosu DPFO, je v BSK najnižšia spomedzi všetkých krajov;</w:t>
      </w:r>
    </w:p>
    <w:p w:rsidR="003C27A2" w:rsidRDefault="003C27A2" w:rsidP="003C27A2">
      <w:pPr>
        <w:pStyle w:val="Odsekzoznamu"/>
        <w:numPr>
          <w:ilvl w:val="0"/>
          <w:numId w:val="2"/>
        </w:numPr>
        <w:spacing w:line="276" w:lineRule="auto"/>
        <w:ind w:left="714" w:hanging="357"/>
        <w:jc w:val="both"/>
      </w:pPr>
      <w:r>
        <w:t>prerozdelenie výnosu DPFO v sebe zahŕňa i parameter dĺžky cestnej siete (váha až 20%), ktorá je v rámci BSK takisto najnižšia v porovnaní s inými krajmi;</w:t>
      </w:r>
    </w:p>
    <w:p w:rsidR="003C27A2" w:rsidRDefault="003C27A2" w:rsidP="003C27A2">
      <w:pPr>
        <w:pStyle w:val="Odsekzoznamu"/>
        <w:numPr>
          <w:ilvl w:val="0"/>
          <w:numId w:val="2"/>
        </w:numPr>
        <w:spacing w:line="276" w:lineRule="auto"/>
        <w:ind w:left="714" w:hanging="357"/>
        <w:jc w:val="both"/>
      </w:pPr>
      <w:r>
        <w:t xml:space="preserve">výnos DPFO pre BSK je krátený koeficientom horizontálneho vyrovnania </w:t>
      </w:r>
      <w:r w:rsidRPr="00A77D83">
        <w:t>0,9518</w:t>
      </w:r>
      <w:r>
        <w:t xml:space="preserve"> a prerozdelený v prospech ostatných VÚC.</w:t>
      </w:r>
    </w:p>
    <w:p w:rsidR="003C27A2" w:rsidRDefault="003C27A2" w:rsidP="003C27A2">
      <w:pPr>
        <w:jc w:val="both"/>
      </w:pPr>
    </w:p>
    <w:p w:rsidR="003C27A2" w:rsidRDefault="003C27A2" w:rsidP="003C27A2">
      <w:pPr>
        <w:ind w:firstLine="708"/>
        <w:jc w:val="both"/>
      </w:pPr>
      <w:r>
        <w:t xml:space="preserve">Ako je z uvedeného zrejmé, </w:t>
      </w:r>
      <w:r w:rsidRPr="003C27A2">
        <w:rPr>
          <w:b/>
        </w:rPr>
        <w:t>pri prerozdelení výnosu DPFO je BSK znevýhodnený parametrami vzorca, ktorý nezohľadňuje daňovú silu VÚC</w:t>
      </w:r>
      <w:r>
        <w:t xml:space="preserve"> a až 38% výnosu DPFO prerozdeľuje na základe kritérií nevýhodných pre BSK. Medzi ďalšie osobitosti BSK voči ostatným krajom možno zaradiť:</w:t>
      </w:r>
    </w:p>
    <w:p w:rsidR="003C27A2" w:rsidRDefault="003C27A2" w:rsidP="003C27A2">
      <w:pPr>
        <w:pStyle w:val="Odsekzoznamu"/>
        <w:numPr>
          <w:ilvl w:val="0"/>
          <w:numId w:val="2"/>
        </w:numPr>
        <w:spacing w:line="276" w:lineRule="auto"/>
        <w:jc w:val="both"/>
      </w:pPr>
      <w:r>
        <w:t>nižší počet km ciest II. a III. triedy, ale vyššia hustota dopravy;</w:t>
      </w:r>
    </w:p>
    <w:p w:rsidR="003C27A2" w:rsidRDefault="003C27A2" w:rsidP="003C27A2">
      <w:pPr>
        <w:pStyle w:val="Odsekzoznamu"/>
        <w:numPr>
          <w:ilvl w:val="0"/>
          <w:numId w:val="2"/>
        </w:numPr>
        <w:spacing w:line="276" w:lineRule="auto"/>
        <w:jc w:val="both"/>
      </w:pPr>
      <w:r>
        <w:t>vysoká intenzita tranzitnej dopravy a osobnej dopravy občanov dochádzajúcich za prácou;</w:t>
      </w:r>
    </w:p>
    <w:p w:rsidR="003C27A2" w:rsidRDefault="003C27A2" w:rsidP="003C27A2">
      <w:pPr>
        <w:pStyle w:val="Odsekzoznamu"/>
        <w:numPr>
          <w:ilvl w:val="0"/>
          <w:numId w:val="2"/>
        </w:numPr>
        <w:spacing w:line="276" w:lineRule="auto"/>
        <w:jc w:val="both"/>
      </w:pPr>
      <w:r>
        <w:t>vyššia hustota obyvateľstva v porovnaní s ostatnými krajmi a tým intenzívnejšie používanie ciest;</w:t>
      </w:r>
    </w:p>
    <w:p w:rsidR="003C27A2" w:rsidRDefault="003C27A2" w:rsidP="003C27A2">
      <w:pPr>
        <w:pStyle w:val="Odsekzoznamu"/>
        <w:numPr>
          <w:ilvl w:val="0"/>
          <w:numId w:val="2"/>
        </w:numPr>
        <w:spacing w:line="276" w:lineRule="auto"/>
        <w:jc w:val="both"/>
      </w:pPr>
      <w:r>
        <w:t>aktuálne najvyšší počet seniorov vo vzťahu k celkovému oficiálnemu obyvateľstvu kraja;</w:t>
      </w:r>
    </w:p>
    <w:p w:rsidR="003C27A2" w:rsidRPr="00AD2F0E" w:rsidRDefault="003C27A2" w:rsidP="003C27A2">
      <w:pPr>
        <w:pStyle w:val="Odsekzoznamu"/>
        <w:numPr>
          <w:ilvl w:val="0"/>
          <w:numId w:val="2"/>
        </w:numPr>
        <w:spacing w:line="276" w:lineRule="auto"/>
        <w:jc w:val="both"/>
      </w:pPr>
      <w:r>
        <w:t>diskriminačné postavenie BSK oproti ostatným krajom v možnostiach čerpať eurofondy z dôvodu štatisticky vykazovaného vyššieho HDP na obyvateľa – pre porovnanie, kým v rámci ROP napr. na opravy a rekonštrukciu ciest BSK nemôže čerpať eurofondy, ostatné VÚC už majú na tento účel zazmluvnených takmer 150 mil. EUR.</w:t>
      </w:r>
    </w:p>
    <w:p w:rsidR="003C27A2" w:rsidRDefault="003C27A2" w:rsidP="003C27A2">
      <w:pPr>
        <w:rPr>
          <w:b/>
        </w:rPr>
      </w:pPr>
    </w:p>
    <w:p w:rsidR="00697926" w:rsidRDefault="00697926" w:rsidP="003C27A2">
      <w:pPr>
        <w:rPr>
          <w:b/>
        </w:rPr>
      </w:pPr>
    </w:p>
    <w:p w:rsidR="00697926" w:rsidRDefault="00697926" w:rsidP="003C27A2">
      <w:pPr>
        <w:rPr>
          <w:b/>
        </w:rPr>
      </w:pPr>
    </w:p>
    <w:tbl>
      <w:tblPr>
        <w:tblW w:w="96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420"/>
        <w:gridCol w:w="1440"/>
        <w:gridCol w:w="1540"/>
        <w:gridCol w:w="1120"/>
        <w:gridCol w:w="1120"/>
        <w:gridCol w:w="1240"/>
      </w:tblGrid>
      <w:tr w:rsidR="00697926" w:rsidRPr="00697926" w:rsidTr="00697926">
        <w:trPr>
          <w:trHeight w:val="435"/>
        </w:trPr>
        <w:tc>
          <w:tcPr>
            <w:tcW w:w="4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lastRenderedPageBreak/>
              <w:t>Prerozdelenie dane z príjmov FO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</w:p>
        </w:tc>
      </w:tr>
      <w:tr w:rsidR="00697926" w:rsidRPr="00697926" w:rsidTr="00697926">
        <w:trPr>
          <w:trHeight w:val="795"/>
        </w:trPr>
        <w:tc>
          <w:tcPr>
            <w:tcW w:w="1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Kraj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Počet obyv.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6979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k 1.1.2012 (osoby)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Počet obyv. 15-18 rokov k 1.1.2012 (osoby)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Počet obyv. vo veku 62+k 1.1.2012 (osoby)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Rozloha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6979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v km2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Počet obyv./km2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6979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DCj</w:t>
            </w:r>
            <w:proofErr w:type="spellEnd"/>
            <w:r w:rsidRPr="006979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 II. a III. </w:t>
            </w:r>
            <w:proofErr w:type="spellStart"/>
            <w:r w:rsidRPr="006979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tr</w:t>
            </w:r>
            <w:proofErr w:type="spellEnd"/>
            <w:r w:rsidRPr="006979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. v km k 1.1.2012</w:t>
            </w:r>
          </w:p>
        </w:tc>
      </w:tr>
      <w:tr w:rsidR="00697926" w:rsidRPr="00697926" w:rsidTr="00697926">
        <w:trPr>
          <w:trHeight w:val="300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Bratislavský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606 537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21 305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107 311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2 053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295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511,310</w:t>
            </w:r>
          </w:p>
        </w:tc>
      </w:tr>
      <w:tr w:rsidR="00697926" w:rsidRPr="00697926" w:rsidTr="00697926">
        <w:trPr>
          <w:trHeight w:val="300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Trnavský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555 509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24 986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92 115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4 147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134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1 590,789</w:t>
            </w:r>
          </w:p>
        </w:tc>
      </w:tr>
      <w:tr w:rsidR="00697926" w:rsidRPr="00697926" w:rsidTr="00697926">
        <w:trPr>
          <w:trHeight w:val="300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Trenčiansky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594 186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27 289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103 707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4 502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132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1 488,217</w:t>
            </w:r>
          </w:p>
        </w:tc>
      </w:tr>
      <w:tr w:rsidR="00697926" w:rsidRPr="00697926" w:rsidTr="00697926">
        <w:trPr>
          <w:trHeight w:val="300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Nitriansky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689 564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30 939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121 255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6 344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109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2 040,536</w:t>
            </w:r>
          </w:p>
        </w:tc>
      </w:tr>
      <w:tr w:rsidR="00697926" w:rsidRPr="00697926" w:rsidTr="00697926">
        <w:trPr>
          <w:trHeight w:val="300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Žilinský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689 601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36 089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105 249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6 809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101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1 442,418</w:t>
            </w:r>
          </w:p>
        </w:tc>
      </w:tr>
      <w:tr w:rsidR="00697926" w:rsidRPr="00697926" w:rsidTr="00697926">
        <w:trPr>
          <w:trHeight w:val="300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Banskobystrický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660 128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30 887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110 079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9 454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2 461,258</w:t>
            </w:r>
          </w:p>
        </w:tc>
      </w:tr>
      <w:tr w:rsidR="00697926" w:rsidRPr="00697926" w:rsidTr="00697926">
        <w:trPr>
          <w:trHeight w:val="300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Prešovský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815 806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47 065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114 083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8 974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2 444,395</w:t>
            </w:r>
          </w:p>
        </w:tc>
      </w:tr>
      <w:tr w:rsidR="00697926" w:rsidRPr="00697926" w:rsidTr="00697926">
        <w:trPr>
          <w:trHeight w:val="315"/>
        </w:trPr>
        <w:tc>
          <w:tcPr>
            <w:tcW w:w="17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Košický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792 991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39 924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117 687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6 754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117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8E4BC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1 941,102</w:t>
            </w:r>
          </w:p>
        </w:tc>
      </w:tr>
      <w:tr w:rsidR="00697926" w:rsidRPr="00697926" w:rsidTr="00697926">
        <w:trPr>
          <w:trHeight w:val="300"/>
        </w:trPr>
        <w:tc>
          <w:tcPr>
            <w:tcW w:w="1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Spolu 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5 404 322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258 484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871 486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49 037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x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13 920</w:t>
            </w:r>
          </w:p>
        </w:tc>
      </w:tr>
      <w:tr w:rsidR="00697926" w:rsidRPr="00697926" w:rsidTr="00697926">
        <w:trPr>
          <w:trHeight w:val="315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Váha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0,15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0,15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0,32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0,09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0,09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0,20</w:t>
            </w:r>
          </w:p>
        </w:tc>
      </w:tr>
    </w:tbl>
    <w:p w:rsidR="00697926" w:rsidRDefault="00697926" w:rsidP="003C27A2">
      <w:pPr>
        <w:rPr>
          <w:b/>
          <w:sz w:val="24"/>
          <w:szCs w:val="24"/>
        </w:rPr>
      </w:pPr>
      <w:r>
        <w:rPr>
          <w:b/>
          <w:sz w:val="24"/>
          <w:szCs w:val="24"/>
        </w:rPr>
        <w:t>Vzorec pre výpočet</w:t>
      </w:r>
    </w:p>
    <w:p w:rsidR="00697926" w:rsidRDefault="00697926" w:rsidP="003C27A2">
      <w:pPr>
        <w:rPr>
          <w:b/>
          <w:sz w:val="24"/>
          <w:szCs w:val="24"/>
        </w:rPr>
      </w:pPr>
      <w:r>
        <w:rPr>
          <w:noProof/>
          <w:lang w:eastAsia="sk-SK"/>
        </w:rPr>
        <w:drawing>
          <wp:inline distT="0" distB="0" distL="0" distR="0" wp14:anchorId="697E893E" wp14:editId="36640A08">
            <wp:extent cx="5372100" cy="1332902"/>
            <wp:effectExtent l="0" t="0" r="0" b="635"/>
            <wp:docPr id="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1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1332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84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420"/>
        <w:gridCol w:w="1440"/>
        <w:gridCol w:w="1540"/>
        <w:gridCol w:w="1120"/>
        <w:gridCol w:w="1120"/>
      </w:tblGrid>
      <w:tr w:rsidR="00697926" w:rsidRPr="00697926" w:rsidTr="00697926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Vysvetlivky: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697926" w:rsidRPr="00697926" w:rsidTr="00697926">
        <w:trPr>
          <w:trHeight w:val="300"/>
        </w:trPr>
        <w:tc>
          <w:tcPr>
            <w:tcW w:w="8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proofErr w:type="spellStart"/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PD</w:t>
            </w:r>
            <w:r w:rsidRPr="00697926">
              <w:rPr>
                <w:rFonts w:ascii="Calibri" w:eastAsia="Times New Roman" w:hAnsi="Calibri" w:cs="Calibri"/>
                <w:color w:val="000000"/>
                <w:vertAlign w:val="subscript"/>
                <w:lang w:eastAsia="sk-SK"/>
              </w:rPr>
              <w:t>j</w:t>
            </w:r>
            <w:proofErr w:type="spellEnd"/>
            <w:r w:rsidRPr="00697926">
              <w:rPr>
                <w:rFonts w:ascii="Calibri" w:eastAsia="Times New Roman" w:hAnsi="Calibri" w:cs="Calibri"/>
                <w:color w:val="000000"/>
                <w:vertAlign w:val="subscript"/>
                <w:lang w:eastAsia="sk-SK"/>
              </w:rPr>
              <w:t xml:space="preserve"> </w:t>
            </w: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- podiel vyššieho územného celku "j" na výnose dane v eurách</w:t>
            </w:r>
          </w:p>
        </w:tc>
      </w:tr>
      <w:tr w:rsidR="00697926" w:rsidRPr="00697926" w:rsidTr="00697926">
        <w:trPr>
          <w:trHeight w:val="300"/>
        </w:trPr>
        <w:tc>
          <w:tcPr>
            <w:tcW w:w="8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VD - výnos dane podľa § 3 zákona v eurách</w:t>
            </w:r>
          </w:p>
        </w:tc>
      </w:tr>
      <w:tr w:rsidR="00697926" w:rsidRPr="00697926" w:rsidTr="00697926">
        <w:trPr>
          <w:trHeight w:val="540"/>
        </w:trPr>
        <w:tc>
          <w:tcPr>
            <w:tcW w:w="8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proofErr w:type="spellStart"/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OB</w:t>
            </w:r>
            <w:r w:rsidRPr="00697926">
              <w:rPr>
                <w:rFonts w:ascii="Calibri" w:eastAsia="Times New Roman" w:hAnsi="Calibri" w:cs="Calibri"/>
                <w:color w:val="000000"/>
                <w:vertAlign w:val="subscript"/>
                <w:lang w:eastAsia="sk-SK"/>
              </w:rPr>
              <w:t>j</w:t>
            </w:r>
            <w:proofErr w:type="spellEnd"/>
            <w:r w:rsidRPr="00697926">
              <w:rPr>
                <w:rFonts w:ascii="Calibri" w:eastAsia="Times New Roman" w:hAnsi="Calibri" w:cs="Calibri"/>
                <w:color w:val="000000"/>
                <w:vertAlign w:val="subscript"/>
                <w:lang w:eastAsia="sk-SK"/>
              </w:rPr>
              <w:t xml:space="preserve"> </w:t>
            </w: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- počet obyvateľov vyššieho územného celku "j" k 1. januáru predchádzajúceho kalendárneho roka</w:t>
            </w:r>
          </w:p>
        </w:tc>
      </w:tr>
      <w:tr w:rsidR="00697926" w:rsidRPr="00697926" w:rsidTr="00697926">
        <w:trPr>
          <w:trHeight w:val="300"/>
        </w:trPr>
        <w:tc>
          <w:tcPr>
            <w:tcW w:w="8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OB - počet obyvateľov Slovenskej republiky k 1. januáru predchádzajúceho kalendárneho roka</w:t>
            </w:r>
          </w:p>
        </w:tc>
      </w:tr>
      <w:tr w:rsidR="00697926" w:rsidRPr="00697926" w:rsidTr="00697926">
        <w:trPr>
          <w:trHeight w:val="615"/>
        </w:trPr>
        <w:tc>
          <w:tcPr>
            <w:tcW w:w="8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proofErr w:type="spellStart"/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OB</w:t>
            </w:r>
            <w:r w:rsidRPr="00697926">
              <w:rPr>
                <w:rFonts w:ascii="Calibri" w:eastAsia="Times New Roman" w:hAnsi="Calibri" w:cs="Calibri"/>
                <w:color w:val="000000"/>
                <w:vertAlign w:val="subscript"/>
                <w:lang w:eastAsia="sk-SK"/>
              </w:rPr>
              <w:t>j</w:t>
            </w:r>
            <w:proofErr w:type="spellEnd"/>
            <w:r w:rsidRPr="00697926">
              <w:rPr>
                <w:rFonts w:ascii="Calibri" w:eastAsia="Times New Roman" w:hAnsi="Calibri" w:cs="Calibri"/>
                <w:color w:val="000000"/>
                <w:vertAlign w:val="subscript"/>
                <w:lang w:eastAsia="sk-SK"/>
              </w:rPr>
              <w:t xml:space="preserve"> 15-18</w:t>
            </w: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- počet obyvateľov vyššieho územného celku "j" vo veku pätnásť až osemnásť rokov s trvalým pobytom na jeho území k 1. januáru predchádzajúceho kalendárneho roka</w:t>
            </w:r>
          </w:p>
        </w:tc>
      </w:tr>
      <w:tr w:rsidR="00697926" w:rsidRPr="00697926" w:rsidTr="00697926">
        <w:trPr>
          <w:trHeight w:val="585"/>
        </w:trPr>
        <w:tc>
          <w:tcPr>
            <w:tcW w:w="8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OB</w:t>
            </w:r>
            <w:r w:rsidRPr="00697926">
              <w:rPr>
                <w:rFonts w:ascii="Calibri" w:eastAsia="Times New Roman" w:hAnsi="Calibri" w:cs="Calibri"/>
                <w:color w:val="000000"/>
                <w:vertAlign w:val="subscript"/>
                <w:lang w:eastAsia="sk-SK"/>
              </w:rPr>
              <w:t xml:space="preserve"> 15-18 </w:t>
            </w: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- počet obyvateľov Slovenskej republiky vo veku pätnásť až osemnásť rokov k 1. januáru predchádzajúceho kalendárneho roka</w:t>
            </w:r>
          </w:p>
        </w:tc>
      </w:tr>
      <w:tr w:rsidR="00697926" w:rsidRPr="00697926" w:rsidTr="00697926">
        <w:trPr>
          <w:trHeight w:val="615"/>
        </w:trPr>
        <w:tc>
          <w:tcPr>
            <w:tcW w:w="8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proofErr w:type="spellStart"/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OB</w:t>
            </w:r>
            <w:r w:rsidRPr="00697926">
              <w:rPr>
                <w:rFonts w:ascii="Calibri" w:eastAsia="Times New Roman" w:hAnsi="Calibri" w:cs="Calibri"/>
                <w:color w:val="000000"/>
                <w:vertAlign w:val="subscript"/>
                <w:lang w:eastAsia="sk-SK"/>
              </w:rPr>
              <w:t>j</w:t>
            </w:r>
            <w:proofErr w:type="spellEnd"/>
            <w:r w:rsidRPr="00697926">
              <w:rPr>
                <w:rFonts w:ascii="Calibri" w:eastAsia="Times New Roman" w:hAnsi="Calibri" w:cs="Calibri"/>
                <w:color w:val="000000"/>
                <w:vertAlign w:val="subscript"/>
                <w:lang w:eastAsia="sk-SK"/>
              </w:rPr>
              <w:t xml:space="preserve"> </w:t>
            </w:r>
            <w:proofErr w:type="spellStart"/>
            <w:r w:rsidRPr="00697926">
              <w:rPr>
                <w:rFonts w:ascii="Calibri" w:eastAsia="Times New Roman" w:hAnsi="Calibri" w:cs="Calibri"/>
                <w:color w:val="000000"/>
                <w:vertAlign w:val="subscript"/>
                <w:lang w:eastAsia="sk-SK"/>
              </w:rPr>
              <w:t>pp</w:t>
            </w:r>
            <w:proofErr w:type="spellEnd"/>
            <w:r w:rsidRPr="00697926">
              <w:rPr>
                <w:rFonts w:ascii="Calibri" w:eastAsia="Times New Roman" w:hAnsi="Calibri" w:cs="Calibri"/>
                <w:color w:val="000000"/>
                <w:vertAlign w:val="subscript"/>
                <w:lang w:eastAsia="sk-SK"/>
              </w:rPr>
              <w:t xml:space="preserve"> </w:t>
            </w: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- počet obyvateľov vyššieho územného celku "j", ktorí dovŕšili vek šesťdesiatdva rokov k 1. januáru predchádzajúceho kalendárneho roka</w:t>
            </w:r>
          </w:p>
        </w:tc>
      </w:tr>
      <w:tr w:rsidR="00697926" w:rsidRPr="00697926" w:rsidTr="00697926">
        <w:trPr>
          <w:trHeight w:val="570"/>
        </w:trPr>
        <w:tc>
          <w:tcPr>
            <w:tcW w:w="8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proofErr w:type="spellStart"/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OB</w:t>
            </w:r>
            <w:r w:rsidRPr="00697926">
              <w:rPr>
                <w:rFonts w:ascii="Calibri" w:eastAsia="Times New Roman" w:hAnsi="Calibri" w:cs="Calibri"/>
                <w:color w:val="000000"/>
                <w:vertAlign w:val="subscript"/>
                <w:lang w:eastAsia="sk-SK"/>
              </w:rPr>
              <w:t>pp</w:t>
            </w:r>
            <w:proofErr w:type="spellEnd"/>
            <w:r w:rsidRPr="00697926">
              <w:rPr>
                <w:rFonts w:ascii="Calibri" w:eastAsia="Times New Roman" w:hAnsi="Calibri" w:cs="Calibri"/>
                <w:color w:val="000000"/>
                <w:vertAlign w:val="subscript"/>
                <w:lang w:eastAsia="sk-SK"/>
              </w:rPr>
              <w:t xml:space="preserve"> </w:t>
            </w: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- počet obyvateľov Slovenskej republiky, ktorí dovŕšili vek šesťdesiatdva rokov k 1. januáru predchádzajúceho kalendárneho roka</w:t>
            </w:r>
          </w:p>
        </w:tc>
      </w:tr>
      <w:tr w:rsidR="00697926" w:rsidRPr="00697926" w:rsidTr="00697926">
        <w:trPr>
          <w:trHeight w:val="585"/>
        </w:trPr>
        <w:tc>
          <w:tcPr>
            <w:tcW w:w="8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proofErr w:type="spellStart"/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Hust</w:t>
            </w:r>
            <w:r w:rsidRPr="00697926">
              <w:rPr>
                <w:rFonts w:ascii="Calibri" w:eastAsia="Times New Roman" w:hAnsi="Calibri" w:cs="Calibri"/>
                <w:color w:val="000000"/>
                <w:vertAlign w:val="subscript"/>
                <w:lang w:eastAsia="sk-SK"/>
              </w:rPr>
              <w:t>j</w:t>
            </w:r>
            <w:proofErr w:type="spellEnd"/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- hustota obyvateľstva vyššieho územného celku "j" k 1. januáru predchádzajúceho kalendárneho roka</w:t>
            </w:r>
          </w:p>
        </w:tc>
      </w:tr>
      <w:tr w:rsidR="00697926" w:rsidRPr="00697926" w:rsidTr="00697926">
        <w:trPr>
          <w:trHeight w:val="300"/>
        </w:trPr>
        <w:tc>
          <w:tcPr>
            <w:tcW w:w="8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proofErr w:type="spellStart"/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DC</w:t>
            </w:r>
            <w:r w:rsidRPr="00697926">
              <w:rPr>
                <w:rFonts w:ascii="Calibri" w:eastAsia="Times New Roman" w:hAnsi="Calibri" w:cs="Calibri"/>
                <w:color w:val="000000"/>
                <w:vertAlign w:val="subscript"/>
                <w:lang w:eastAsia="sk-SK"/>
              </w:rPr>
              <w:t>j</w:t>
            </w:r>
            <w:proofErr w:type="spellEnd"/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- dĺžka ciest II. triedy a III. triedy vo vlastníctve vyššieho územného celku "j" k 1. januáru predchádzajúceho kalendárneho roka</w:t>
            </w:r>
          </w:p>
        </w:tc>
      </w:tr>
      <w:tr w:rsidR="00697926" w:rsidRPr="00697926" w:rsidTr="00697926">
        <w:trPr>
          <w:trHeight w:val="300"/>
        </w:trPr>
        <w:tc>
          <w:tcPr>
            <w:tcW w:w="8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proofErr w:type="spellStart"/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R</w:t>
            </w:r>
            <w:r w:rsidRPr="00697926">
              <w:rPr>
                <w:rFonts w:ascii="Calibri" w:eastAsia="Times New Roman" w:hAnsi="Calibri" w:cs="Calibri"/>
                <w:color w:val="000000"/>
                <w:vertAlign w:val="subscript"/>
                <w:lang w:eastAsia="sk-SK"/>
              </w:rPr>
              <w:t>j</w:t>
            </w:r>
            <w:proofErr w:type="spellEnd"/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- rozloha vyššieho územného celku "j"</w:t>
            </w:r>
          </w:p>
        </w:tc>
      </w:tr>
      <w:tr w:rsidR="00697926" w:rsidRPr="00697926" w:rsidTr="00697926">
        <w:trPr>
          <w:trHeight w:val="300"/>
        </w:trPr>
        <w:tc>
          <w:tcPr>
            <w:tcW w:w="8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R - rozloha Slovenskej republiky</w:t>
            </w:r>
          </w:p>
        </w:tc>
      </w:tr>
      <w:tr w:rsidR="00697926" w:rsidRPr="00697926" w:rsidTr="00697926">
        <w:trPr>
          <w:trHeight w:val="300"/>
        </w:trPr>
        <w:tc>
          <w:tcPr>
            <w:tcW w:w="8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7926" w:rsidRPr="00697926" w:rsidRDefault="00697926" w:rsidP="006979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7926">
              <w:rPr>
                <w:rFonts w:ascii="Calibri" w:eastAsia="Times New Roman" w:hAnsi="Calibri" w:cs="Calibri"/>
                <w:color w:val="000000"/>
                <w:lang w:eastAsia="sk-SK"/>
              </w:rPr>
              <w:t>j - údaj týkajúci sa príslušného vyššieho územného celku</w:t>
            </w:r>
          </w:p>
        </w:tc>
      </w:tr>
    </w:tbl>
    <w:p w:rsidR="003C27A2" w:rsidRDefault="003C27A2" w:rsidP="003C27A2">
      <w:pPr>
        <w:rPr>
          <w:b/>
          <w:sz w:val="24"/>
          <w:szCs w:val="24"/>
        </w:rPr>
      </w:pPr>
    </w:p>
    <w:p w:rsidR="003C27A2" w:rsidRPr="003C27A2" w:rsidRDefault="003C27A2" w:rsidP="003C27A2">
      <w:pPr>
        <w:rPr>
          <w:b/>
          <w:sz w:val="24"/>
          <w:szCs w:val="24"/>
        </w:rPr>
      </w:pPr>
      <w:r w:rsidRPr="003C27A2">
        <w:rPr>
          <w:b/>
          <w:sz w:val="24"/>
          <w:szCs w:val="24"/>
        </w:rPr>
        <w:lastRenderedPageBreak/>
        <w:t>Použitie daňových príjmov v rámci BSK</w:t>
      </w:r>
    </w:p>
    <w:p w:rsidR="003C27A2" w:rsidRDefault="003C27A2" w:rsidP="003C27A2">
      <w:pPr>
        <w:ind w:firstLine="708"/>
        <w:jc w:val="both"/>
      </w:pPr>
      <w:r>
        <w:t xml:space="preserve">Daňové príjmy sa v zmysle rozpočtu zaraďujú medzi vlastné príjmy BSK spoločne s nedaňovými príjmami a ich použitie je možné definovať len na spoločnej báze, nakoľko sa v zmysle platnej </w:t>
      </w:r>
      <w:r w:rsidR="00A955BA">
        <w:t>definície</w:t>
      </w:r>
      <w:r>
        <w:t xml:space="preserve"> príjmov a</w:t>
      </w:r>
      <w:r w:rsidR="00A955BA">
        <w:t> </w:t>
      </w:r>
      <w:r>
        <w:t>výdavkov</w:t>
      </w:r>
      <w:r w:rsidR="00A955BA">
        <w:t xml:space="preserve"> z hľadiska zdrojov financovania</w:t>
      </w:r>
      <w:r>
        <w:t xml:space="preserve"> nevedie zvlášť evidencia na čo presne sa použil napr. príjem z DMV, ale posudzujú sa tieto príjmy ako zdroj financovania v jednom celku.</w:t>
      </w:r>
    </w:p>
    <w:p w:rsidR="003C27A2" w:rsidRDefault="003C27A2" w:rsidP="003C27A2">
      <w:pPr>
        <w:ind w:firstLine="708"/>
      </w:pPr>
      <w:r>
        <w:t>Na základe týchto faktov je možné zostaviť nasledujúci prehľad:</w:t>
      </w:r>
    </w:p>
    <w:p w:rsidR="00981916" w:rsidRDefault="00981916" w:rsidP="00DD75CA">
      <w:pPr>
        <w:spacing w:after="120"/>
      </w:pPr>
      <w:r w:rsidRPr="00DD75CA">
        <w:rPr>
          <w:b/>
        </w:rPr>
        <w:t>Vlastné príjmy kraja</w:t>
      </w:r>
      <w:r>
        <w:t xml:space="preserve"> boli v roku 2012 vo výške 71,50 mil. EUR, z toho:</w:t>
      </w:r>
    </w:p>
    <w:p w:rsidR="00981916" w:rsidRPr="001077DD" w:rsidRDefault="00981916" w:rsidP="001077DD">
      <w:pPr>
        <w:pStyle w:val="Odsekzoznamu"/>
        <w:numPr>
          <w:ilvl w:val="0"/>
          <w:numId w:val="2"/>
        </w:numPr>
        <w:spacing w:line="276" w:lineRule="auto"/>
      </w:pPr>
      <w:r w:rsidRPr="00981916">
        <w:rPr>
          <w:rFonts w:ascii="Arial" w:hAnsi="Arial" w:cs="Arial"/>
          <w:sz w:val="20"/>
          <w:szCs w:val="20"/>
          <w:lang w:eastAsia="sk-SK"/>
        </w:rPr>
        <w:t>Daň z motorových vozidiel</w:t>
      </w:r>
      <w:r>
        <w:rPr>
          <w:rFonts w:ascii="Arial" w:hAnsi="Arial" w:cs="Arial"/>
          <w:sz w:val="20"/>
          <w:szCs w:val="20"/>
          <w:lang w:eastAsia="sk-SK"/>
        </w:rPr>
        <w:t xml:space="preserve">  </w:t>
      </w:r>
      <w:r w:rsidR="001077DD">
        <w:rPr>
          <w:rFonts w:ascii="Arial" w:hAnsi="Arial" w:cs="Arial"/>
          <w:sz w:val="20"/>
          <w:szCs w:val="20"/>
          <w:lang w:eastAsia="sk-SK"/>
        </w:rPr>
        <w:tab/>
      </w:r>
      <w:r w:rsidR="001077DD">
        <w:rPr>
          <w:rFonts w:ascii="Arial" w:hAnsi="Arial" w:cs="Arial"/>
          <w:sz w:val="20"/>
          <w:szCs w:val="20"/>
          <w:lang w:eastAsia="sk-SK"/>
        </w:rPr>
        <w:tab/>
      </w:r>
      <w:r w:rsidR="001077DD">
        <w:rPr>
          <w:rFonts w:ascii="Arial" w:hAnsi="Arial" w:cs="Arial"/>
          <w:sz w:val="20"/>
          <w:szCs w:val="20"/>
          <w:lang w:eastAsia="sk-SK"/>
        </w:rPr>
        <w:tab/>
      </w:r>
      <w:r w:rsidR="001077DD">
        <w:rPr>
          <w:rFonts w:ascii="Arial" w:hAnsi="Arial" w:cs="Arial"/>
          <w:sz w:val="20"/>
          <w:szCs w:val="20"/>
          <w:lang w:eastAsia="sk-SK"/>
        </w:rPr>
        <w:tab/>
      </w:r>
      <w:r w:rsidR="001077DD">
        <w:rPr>
          <w:rFonts w:ascii="Arial" w:hAnsi="Arial" w:cs="Arial"/>
          <w:sz w:val="20"/>
          <w:szCs w:val="20"/>
          <w:lang w:eastAsia="sk-SK"/>
        </w:rPr>
        <w:tab/>
      </w:r>
      <w:r w:rsidRPr="001077DD">
        <w:t>33,35 mil. EUR</w:t>
      </w:r>
    </w:p>
    <w:p w:rsidR="00981916" w:rsidRPr="001077DD" w:rsidRDefault="00981916" w:rsidP="001077DD">
      <w:pPr>
        <w:pStyle w:val="Odsekzoznamu"/>
        <w:numPr>
          <w:ilvl w:val="0"/>
          <w:numId w:val="2"/>
        </w:numPr>
        <w:spacing w:line="276" w:lineRule="auto"/>
      </w:pPr>
      <w:r w:rsidRPr="001077DD">
        <w:t xml:space="preserve">Daň z príjmu FO </w:t>
      </w:r>
      <w:r w:rsidR="001077DD" w:rsidRPr="001077DD">
        <w:t xml:space="preserve">  </w:t>
      </w:r>
      <w:r w:rsidR="001077DD" w:rsidRPr="001077DD">
        <w:tab/>
      </w:r>
      <w:r w:rsidR="001077DD" w:rsidRPr="001077DD">
        <w:tab/>
      </w:r>
      <w:r w:rsidR="001077DD" w:rsidRPr="001077DD">
        <w:tab/>
      </w:r>
      <w:r w:rsidR="001077DD" w:rsidRPr="001077DD">
        <w:tab/>
      </w:r>
      <w:r w:rsidR="001077DD" w:rsidRPr="001077DD">
        <w:tab/>
      </w:r>
      <w:r w:rsidR="001077DD" w:rsidRPr="001077DD">
        <w:tab/>
      </w:r>
      <w:r w:rsidRPr="001077DD">
        <w:t>32,42</w:t>
      </w:r>
      <w:r w:rsidR="001077DD" w:rsidRPr="001077DD">
        <w:t xml:space="preserve"> mil. EUR</w:t>
      </w:r>
    </w:p>
    <w:p w:rsidR="00981916" w:rsidRPr="001077DD" w:rsidRDefault="00981916" w:rsidP="001077DD">
      <w:pPr>
        <w:pStyle w:val="Odsekzoznamu"/>
        <w:numPr>
          <w:ilvl w:val="0"/>
          <w:numId w:val="2"/>
        </w:numPr>
        <w:spacing w:line="276" w:lineRule="auto"/>
      </w:pPr>
      <w:r w:rsidRPr="001077DD">
        <w:t xml:space="preserve">Nedaňové príjmy </w:t>
      </w:r>
      <w:r w:rsidR="001077DD" w:rsidRPr="001077DD">
        <w:tab/>
      </w:r>
      <w:r w:rsidR="001077DD" w:rsidRPr="001077DD">
        <w:tab/>
      </w:r>
      <w:r w:rsidR="001077DD" w:rsidRPr="001077DD">
        <w:tab/>
      </w:r>
      <w:r w:rsidR="001077DD" w:rsidRPr="001077DD">
        <w:tab/>
      </w:r>
      <w:r w:rsidR="001077DD" w:rsidRPr="001077DD">
        <w:tab/>
      </w:r>
      <w:r w:rsidR="001077DD" w:rsidRPr="001077DD">
        <w:tab/>
        <w:t xml:space="preserve">  </w:t>
      </w:r>
      <w:r w:rsidRPr="001077DD">
        <w:t>5,73</w:t>
      </w:r>
      <w:r w:rsidR="001077DD" w:rsidRPr="001077DD">
        <w:t xml:space="preserve"> mil. EUR</w:t>
      </w:r>
    </w:p>
    <w:p w:rsidR="00DD75CA" w:rsidRDefault="00DD75CA" w:rsidP="001077DD">
      <w:pPr>
        <w:rPr>
          <w:b/>
        </w:rPr>
      </w:pPr>
    </w:p>
    <w:p w:rsidR="00981916" w:rsidRDefault="00981916" w:rsidP="00DD75CA">
      <w:pPr>
        <w:spacing w:after="120"/>
      </w:pPr>
      <w:r w:rsidRPr="00DD75CA">
        <w:rPr>
          <w:b/>
        </w:rPr>
        <w:t>Použitie vlastných príjmov kraja</w:t>
      </w:r>
      <w:r>
        <w:t xml:space="preserve"> na financovanie </w:t>
      </w:r>
      <w:r w:rsidR="001059F5">
        <w:t xml:space="preserve">originálnych kompetencií </w:t>
      </w:r>
      <w:r w:rsidR="00DD75CA">
        <w:t>v roku 2012:</w:t>
      </w:r>
    </w:p>
    <w:p w:rsidR="00AC57AB" w:rsidRDefault="001059F5" w:rsidP="001077DD">
      <w:pPr>
        <w:pStyle w:val="Odsekzoznamu"/>
        <w:numPr>
          <w:ilvl w:val="0"/>
          <w:numId w:val="2"/>
        </w:numPr>
        <w:spacing w:line="276" w:lineRule="auto"/>
      </w:pPr>
      <w:r>
        <w:t>Sociálne služby</w:t>
      </w:r>
      <w:r w:rsidR="001077DD">
        <w:tab/>
      </w:r>
      <w:r w:rsidR="001077DD">
        <w:tab/>
      </w:r>
      <w:r w:rsidR="001077DD">
        <w:tab/>
      </w:r>
      <w:r w:rsidR="001077DD">
        <w:tab/>
      </w:r>
      <w:r w:rsidR="001077DD">
        <w:tab/>
      </w:r>
      <w:r w:rsidR="001077DD">
        <w:tab/>
      </w:r>
      <w:r w:rsidR="001077DD">
        <w:tab/>
      </w:r>
      <w:r>
        <w:t xml:space="preserve"> 21,93 mil. EUR</w:t>
      </w:r>
    </w:p>
    <w:p w:rsidR="001059F5" w:rsidRDefault="001059F5" w:rsidP="001077DD">
      <w:pPr>
        <w:pStyle w:val="Odsekzoznamu"/>
        <w:numPr>
          <w:ilvl w:val="0"/>
          <w:numId w:val="2"/>
        </w:numPr>
        <w:spacing w:line="276" w:lineRule="auto"/>
      </w:pPr>
      <w:r>
        <w:t xml:space="preserve">Cesty II. a III. triedy a dopravné služby </w:t>
      </w:r>
      <w:r w:rsidR="001077DD">
        <w:tab/>
      </w:r>
      <w:r w:rsidR="001077DD">
        <w:tab/>
      </w:r>
      <w:r w:rsidR="001077DD">
        <w:tab/>
      </w:r>
      <w:r w:rsidR="001077DD">
        <w:tab/>
        <w:t xml:space="preserve"> </w:t>
      </w:r>
      <w:r>
        <w:t>18,47 mil. EUR</w:t>
      </w:r>
    </w:p>
    <w:p w:rsidR="001059F5" w:rsidRDefault="001059F5" w:rsidP="001077DD">
      <w:pPr>
        <w:pStyle w:val="Odsekzoznamu"/>
        <w:numPr>
          <w:ilvl w:val="0"/>
          <w:numId w:val="2"/>
        </w:numPr>
        <w:spacing w:line="276" w:lineRule="auto"/>
      </w:pPr>
      <w:r>
        <w:t xml:space="preserve">Školstvo a šport </w:t>
      </w:r>
      <w:r w:rsidR="001077DD">
        <w:tab/>
      </w:r>
      <w:r w:rsidR="001077DD">
        <w:tab/>
      </w:r>
      <w:r w:rsidR="001077DD">
        <w:tab/>
      </w:r>
      <w:r w:rsidR="001077DD">
        <w:tab/>
      </w:r>
      <w:r w:rsidR="001077DD">
        <w:tab/>
      </w:r>
      <w:r w:rsidR="001077DD">
        <w:tab/>
        <w:t xml:space="preserve">   </w:t>
      </w:r>
      <w:r>
        <w:t xml:space="preserve">7,92 mil. EUR </w:t>
      </w:r>
    </w:p>
    <w:p w:rsidR="001059F5" w:rsidRDefault="001059F5" w:rsidP="001077DD">
      <w:pPr>
        <w:pStyle w:val="Odsekzoznamu"/>
        <w:numPr>
          <w:ilvl w:val="0"/>
          <w:numId w:val="2"/>
        </w:numPr>
        <w:spacing w:line="276" w:lineRule="auto"/>
      </w:pPr>
      <w:r>
        <w:t xml:space="preserve">Údržba majetku a investície </w:t>
      </w:r>
      <w:r w:rsidR="001077DD">
        <w:tab/>
      </w:r>
      <w:r w:rsidR="001077DD">
        <w:tab/>
      </w:r>
      <w:r w:rsidR="001077DD">
        <w:tab/>
      </w:r>
      <w:r w:rsidR="001077DD">
        <w:tab/>
      </w:r>
      <w:r w:rsidR="001077DD">
        <w:tab/>
        <w:t xml:space="preserve">   </w:t>
      </w:r>
      <w:r>
        <w:t>7,28 mil. EUR</w:t>
      </w:r>
    </w:p>
    <w:p w:rsidR="001059F5" w:rsidRDefault="001059F5" w:rsidP="001077DD">
      <w:pPr>
        <w:pStyle w:val="Odsekzoznamu"/>
        <w:numPr>
          <w:ilvl w:val="0"/>
          <w:numId w:val="2"/>
        </w:numPr>
        <w:spacing w:line="276" w:lineRule="auto"/>
      </w:pPr>
      <w:r>
        <w:t xml:space="preserve">Kultúra </w:t>
      </w:r>
      <w:r w:rsidR="001077DD">
        <w:tab/>
      </w:r>
      <w:r w:rsidR="001077DD">
        <w:tab/>
      </w:r>
      <w:r w:rsidR="001077DD">
        <w:tab/>
      </w:r>
      <w:r w:rsidR="001077DD">
        <w:tab/>
      </w:r>
      <w:r w:rsidR="001077DD">
        <w:tab/>
      </w:r>
      <w:r w:rsidR="001077DD">
        <w:tab/>
      </w:r>
      <w:r w:rsidR="001077DD">
        <w:tab/>
        <w:t xml:space="preserve">   </w:t>
      </w:r>
      <w:r>
        <w:t>3,69 mil. EUR</w:t>
      </w:r>
    </w:p>
    <w:p w:rsidR="001059F5" w:rsidRDefault="001059F5" w:rsidP="001077DD">
      <w:pPr>
        <w:pStyle w:val="Odsekzoznamu"/>
        <w:numPr>
          <w:ilvl w:val="0"/>
          <w:numId w:val="2"/>
        </w:numPr>
        <w:spacing w:line="276" w:lineRule="auto"/>
      </w:pPr>
      <w:r>
        <w:t xml:space="preserve">Regionálny rozvoj kraja </w:t>
      </w:r>
      <w:r w:rsidR="001077DD">
        <w:tab/>
      </w:r>
      <w:r w:rsidR="001077DD">
        <w:tab/>
      </w:r>
      <w:r w:rsidR="001077DD">
        <w:tab/>
      </w:r>
      <w:r w:rsidR="001077DD">
        <w:tab/>
      </w:r>
      <w:r w:rsidR="001077DD">
        <w:tab/>
        <w:t xml:space="preserve">   </w:t>
      </w:r>
      <w:r>
        <w:t>2,81 mil. EUR</w:t>
      </w:r>
    </w:p>
    <w:p w:rsidR="001077DD" w:rsidRDefault="001077DD" w:rsidP="001077DD">
      <w:pPr>
        <w:pStyle w:val="Odsekzoznamu"/>
        <w:numPr>
          <w:ilvl w:val="0"/>
          <w:numId w:val="2"/>
        </w:numPr>
        <w:spacing w:line="276" w:lineRule="auto"/>
      </w:pPr>
      <w:r>
        <w:t xml:space="preserve">Propagácia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0,49 mil. EUR</w:t>
      </w:r>
    </w:p>
    <w:p w:rsidR="001059F5" w:rsidRDefault="001059F5" w:rsidP="001077DD">
      <w:pPr>
        <w:pStyle w:val="Odsekzoznamu"/>
        <w:numPr>
          <w:ilvl w:val="0"/>
          <w:numId w:val="2"/>
        </w:numPr>
        <w:spacing w:line="276" w:lineRule="auto"/>
      </w:pPr>
      <w:r>
        <w:t>Výkon funkcie predsedu, podpredsedu a</w:t>
      </w:r>
      <w:r w:rsidR="001077DD">
        <w:t> </w:t>
      </w:r>
      <w:r>
        <w:t>poslancov</w:t>
      </w:r>
      <w:r w:rsidR="001077DD">
        <w:tab/>
      </w:r>
      <w:r w:rsidR="001077DD">
        <w:tab/>
        <w:t xml:space="preserve">  </w:t>
      </w:r>
      <w:r>
        <w:t xml:space="preserve"> 0,91 mil. EUR</w:t>
      </w:r>
    </w:p>
    <w:p w:rsidR="001059F5" w:rsidRDefault="001077DD" w:rsidP="001077DD">
      <w:pPr>
        <w:pStyle w:val="Odsekzoznamu"/>
        <w:numPr>
          <w:ilvl w:val="0"/>
          <w:numId w:val="2"/>
        </w:numPr>
        <w:spacing w:line="276" w:lineRule="auto"/>
      </w:pPr>
      <w:r>
        <w:t>Zamestnanci (mzdy, odvody, stravné, dohody, soc. fond,...)</w:t>
      </w:r>
      <w:r>
        <w:tab/>
        <w:t xml:space="preserve">   3,99 mil. EUR</w:t>
      </w:r>
    </w:p>
    <w:p w:rsidR="001077DD" w:rsidRDefault="001077DD" w:rsidP="001077DD">
      <w:pPr>
        <w:pStyle w:val="Odsekzoznamu"/>
        <w:numPr>
          <w:ilvl w:val="0"/>
          <w:numId w:val="2"/>
        </w:numPr>
        <w:spacing w:line="276" w:lineRule="auto"/>
      </w:pPr>
      <w:r>
        <w:t xml:space="preserve">Splátky úverov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0,72 mil. EUR</w:t>
      </w:r>
    </w:p>
    <w:p w:rsidR="001077DD" w:rsidRDefault="001077DD" w:rsidP="001077DD">
      <w:pPr>
        <w:pStyle w:val="Odsekzoznamu"/>
        <w:numPr>
          <w:ilvl w:val="0"/>
          <w:numId w:val="2"/>
        </w:numPr>
        <w:spacing w:line="276" w:lineRule="auto"/>
      </w:pPr>
      <w:r>
        <w:t>Ostatné (Zdravotníctvo, cestovný ruch, bezpečnosť, SO/RO,...)</w:t>
      </w:r>
      <w:r>
        <w:tab/>
        <w:t xml:space="preserve">   2,10 mil. EUR</w:t>
      </w:r>
    </w:p>
    <w:p w:rsidR="000B764A" w:rsidRDefault="000B764A" w:rsidP="001077DD">
      <w:pPr>
        <w:pStyle w:val="Odsekzoznamu"/>
        <w:numPr>
          <w:ilvl w:val="0"/>
          <w:numId w:val="2"/>
        </w:numPr>
        <w:spacing w:line="276" w:lineRule="auto"/>
        <w:sectPr w:rsidR="000B764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B764A" w:rsidRDefault="000B764A" w:rsidP="000B764A">
      <w:pPr>
        <w:jc w:val="center"/>
        <w:rPr>
          <w:rFonts w:ascii="Arial" w:eastAsia="Arial Unicode MS" w:hAnsi="Arial" w:cs="Arial"/>
        </w:rPr>
      </w:pPr>
      <w:r w:rsidRPr="00A04872">
        <w:rPr>
          <w:rFonts w:ascii="Arial" w:eastAsia="Arial Unicode MS" w:hAnsi="Arial" w:cs="Arial"/>
          <w:b/>
          <w:sz w:val="32"/>
          <w:szCs w:val="32"/>
        </w:rPr>
        <w:lastRenderedPageBreak/>
        <w:t>Stanoviská</w:t>
      </w:r>
      <w:r w:rsidRPr="00C512FA">
        <w:rPr>
          <w:rFonts w:ascii="Arial" w:eastAsia="Arial Unicode MS" w:hAnsi="Arial" w:cs="Arial"/>
          <w:b/>
          <w:sz w:val="32"/>
          <w:szCs w:val="32"/>
        </w:rPr>
        <w:t xml:space="preserve"> </w:t>
      </w:r>
      <w:r w:rsidRPr="00A04872">
        <w:rPr>
          <w:rFonts w:ascii="Arial" w:eastAsia="Arial Unicode MS" w:hAnsi="Arial" w:cs="Arial"/>
          <w:b/>
          <w:sz w:val="32"/>
          <w:szCs w:val="32"/>
        </w:rPr>
        <w:t>komisií Zastupiteľstva BSK</w:t>
      </w:r>
      <w:r w:rsidRPr="000B764A">
        <w:rPr>
          <w:rFonts w:ascii="Arial" w:eastAsia="Arial Unicode MS" w:hAnsi="Arial" w:cs="Arial"/>
        </w:rPr>
        <w:t xml:space="preserve"> </w:t>
      </w:r>
    </w:p>
    <w:p w:rsidR="000B764A" w:rsidRPr="000B764A" w:rsidRDefault="000B764A" w:rsidP="000B764A">
      <w:pPr>
        <w:rPr>
          <w:rFonts w:ascii="Arial" w:eastAsia="Arial Unicode MS" w:hAnsi="Arial" w:cs="Arial"/>
          <w:b/>
          <w:sz w:val="32"/>
          <w:szCs w:val="32"/>
        </w:rPr>
      </w:pPr>
      <w:r w:rsidRPr="00A04872">
        <w:rPr>
          <w:rFonts w:ascii="Arial" w:eastAsia="Arial Unicode MS" w:hAnsi="Arial" w:cs="Arial"/>
        </w:rPr>
        <w:t>k ma</w:t>
      </w:r>
      <w:bookmarkStart w:id="0" w:name="_GoBack"/>
      <w:bookmarkEnd w:id="0"/>
      <w:r w:rsidRPr="00A04872">
        <w:rPr>
          <w:rFonts w:ascii="Arial" w:eastAsia="Arial Unicode MS" w:hAnsi="Arial" w:cs="Arial"/>
        </w:rPr>
        <w:t>teriálu</w:t>
      </w:r>
      <w:r w:rsidRPr="00A04872">
        <w:rPr>
          <w:rFonts w:ascii="Arial" w:eastAsia="Arial Unicode MS" w:hAnsi="Arial" w:cs="Arial"/>
          <w:b/>
        </w:rPr>
        <w:t xml:space="preserve"> </w:t>
      </w:r>
      <w:r w:rsidRPr="000B764A">
        <w:rPr>
          <w:rFonts w:ascii="Arial" w:eastAsia="Arial Unicode MS" w:hAnsi="Arial" w:cs="Arial"/>
          <w:b/>
        </w:rPr>
        <w:t>Informácia o prerozdelení dane z príjmov fyzických osôb a dane z motorových vozidiel v rámci vyš</w:t>
      </w:r>
      <w:r>
        <w:rPr>
          <w:rFonts w:ascii="Arial" w:eastAsia="Arial Unicode MS" w:hAnsi="Arial" w:cs="Arial"/>
          <w:b/>
        </w:rPr>
        <w:t>ších územných celkov v roku 2012</w:t>
      </w:r>
    </w:p>
    <w:tbl>
      <w:tblPr>
        <w:tblpPr w:leftFromText="141" w:rightFromText="141" w:vertAnchor="page" w:horzAnchor="margin" w:tblpY="292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9"/>
        <w:gridCol w:w="4124"/>
        <w:gridCol w:w="1465"/>
        <w:gridCol w:w="1556"/>
        <w:gridCol w:w="2716"/>
      </w:tblGrid>
      <w:tr w:rsidR="000B764A" w:rsidRPr="004B4A28" w:rsidTr="000B764A">
        <w:trPr>
          <w:trHeight w:val="109"/>
        </w:trPr>
        <w:tc>
          <w:tcPr>
            <w:tcW w:w="1533" w:type="pct"/>
            <w:shd w:val="clear" w:color="auto" w:fill="auto"/>
          </w:tcPr>
          <w:p w:rsidR="000B764A" w:rsidRPr="004B4A28" w:rsidRDefault="000B764A" w:rsidP="000B764A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</w:p>
          <w:p w:rsidR="000B764A" w:rsidRPr="004B4A28" w:rsidRDefault="000B764A" w:rsidP="000B764A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4B4A28">
              <w:rPr>
                <w:rFonts w:ascii="Arial" w:eastAsia="Arial Unicode MS" w:hAnsi="Arial" w:cs="Arial"/>
                <w:b/>
                <w:sz w:val="18"/>
                <w:szCs w:val="18"/>
              </w:rPr>
              <w:t>Názov komisie</w:t>
            </w:r>
          </w:p>
        </w:tc>
        <w:tc>
          <w:tcPr>
            <w:tcW w:w="1450" w:type="pct"/>
            <w:shd w:val="clear" w:color="auto" w:fill="auto"/>
          </w:tcPr>
          <w:p w:rsidR="000B764A" w:rsidRPr="004B4A28" w:rsidRDefault="000B764A" w:rsidP="000B764A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</w:p>
          <w:p w:rsidR="000B764A" w:rsidRPr="004B4A28" w:rsidRDefault="000B764A" w:rsidP="000B764A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4B4A28">
              <w:rPr>
                <w:rFonts w:ascii="Arial" w:eastAsia="Arial Unicode MS" w:hAnsi="Arial" w:cs="Arial"/>
                <w:b/>
                <w:sz w:val="18"/>
                <w:szCs w:val="18"/>
              </w:rPr>
              <w:t>Stanovisko komisie k návrhu materiálu</w:t>
            </w:r>
          </w:p>
        </w:tc>
        <w:tc>
          <w:tcPr>
            <w:tcW w:w="515" w:type="pct"/>
            <w:shd w:val="clear" w:color="auto" w:fill="auto"/>
          </w:tcPr>
          <w:p w:rsidR="000B764A" w:rsidRDefault="000B764A" w:rsidP="000B764A">
            <w:pPr>
              <w:rPr>
                <w:rFonts w:ascii="Arial" w:eastAsia="Arial Unicode MS" w:hAnsi="Arial" w:cs="Arial"/>
                <w:b/>
              </w:rPr>
            </w:pPr>
          </w:p>
          <w:p w:rsidR="000B764A" w:rsidRPr="004B4A28" w:rsidRDefault="000B764A" w:rsidP="000B764A">
            <w:pPr>
              <w:rPr>
                <w:rFonts w:ascii="Arial" w:eastAsia="Arial Unicode MS" w:hAnsi="Arial" w:cs="Arial"/>
                <w:b/>
              </w:rPr>
            </w:pPr>
            <w:r w:rsidRPr="004B4A28">
              <w:rPr>
                <w:rFonts w:ascii="Arial" w:eastAsia="Arial Unicode MS" w:hAnsi="Arial" w:cs="Arial"/>
                <w:b/>
              </w:rPr>
              <w:t>Hlasovanie</w:t>
            </w:r>
          </w:p>
        </w:tc>
        <w:tc>
          <w:tcPr>
            <w:tcW w:w="547" w:type="pct"/>
            <w:shd w:val="clear" w:color="auto" w:fill="auto"/>
          </w:tcPr>
          <w:p w:rsidR="000B764A" w:rsidRPr="004B4A28" w:rsidRDefault="000B764A" w:rsidP="000B764A">
            <w:pPr>
              <w:rPr>
                <w:rFonts w:ascii="Calibri" w:eastAsia="Calibri" w:hAnsi="Calibri"/>
                <w:sz w:val="18"/>
                <w:szCs w:val="18"/>
              </w:rPr>
            </w:pPr>
            <w:r w:rsidRPr="004B4A28">
              <w:rPr>
                <w:rFonts w:ascii="Arial" w:eastAsia="Arial Unicode MS" w:hAnsi="Arial" w:cs="Arial"/>
                <w:b/>
              </w:rPr>
              <w:t xml:space="preserve">Akcept. / </w:t>
            </w:r>
            <w:proofErr w:type="spellStart"/>
            <w:r w:rsidRPr="004B4A28">
              <w:rPr>
                <w:rFonts w:ascii="Arial" w:eastAsia="Arial Unicode MS" w:hAnsi="Arial" w:cs="Arial"/>
                <w:b/>
              </w:rPr>
              <w:t>Neakcept</w:t>
            </w:r>
            <w:proofErr w:type="spellEnd"/>
            <w:r w:rsidRPr="004B4A28">
              <w:rPr>
                <w:rFonts w:ascii="Arial" w:eastAsia="Arial Unicode MS" w:hAnsi="Arial" w:cs="Arial"/>
                <w:b/>
              </w:rPr>
              <w:t>.</w:t>
            </w:r>
          </w:p>
        </w:tc>
        <w:tc>
          <w:tcPr>
            <w:tcW w:w="955" w:type="pct"/>
            <w:shd w:val="clear" w:color="auto" w:fill="auto"/>
          </w:tcPr>
          <w:p w:rsidR="000B764A" w:rsidRPr="004B4A28" w:rsidRDefault="000B764A" w:rsidP="000B764A">
            <w:pPr>
              <w:rPr>
                <w:rFonts w:ascii="Calibri" w:eastAsia="Calibri" w:hAnsi="Calibri"/>
                <w:sz w:val="18"/>
                <w:szCs w:val="18"/>
              </w:rPr>
            </w:pPr>
            <w:proofErr w:type="spellStart"/>
            <w:r w:rsidRPr="004B4A28">
              <w:rPr>
                <w:rFonts w:ascii="Arial" w:eastAsia="Arial Unicode MS" w:hAnsi="Arial" w:cs="Arial"/>
                <w:b/>
              </w:rPr>
              <w:t>Zapracov</w:t>
            </w:r>
            <w:proofErr w:type="spellEnd"/>
            <w:r w:rsidRPr="004B4A28">
              <w:rPr>
                <w:rFonts w:ascii="Arial" w:eastAsia="Arial Unicode MS" w:hAnsi="Arial" w:cs="Arial"/>
                <w:b/>
              </w:rPr>
              <w:t>. /</w:t>
            </w:r>
            <w:proofErr w:type="spellStart"/>
            <w:r w:rsidRPr="004B4A28">
              <w:rPr>
                <w:rFonts w:ascii="Arial" w:eastAsia="Arial Unicode MS" w:hAnsi="Arial" w:cs="Arial"/>
                <w:b/>
              </w:rPr>
              <w:t>Nezapracov</w:t>
            </w:r>
            <w:proofErr w:type="spellEnd"/>
            <w:r w:rsidRPr="004B4A28">
              <w:rPr>
                <w:rFonts w:ascii="Arial" w:eastAsia="Arial Unicode MS" w:hAnsi="Arial" w:cs="Arial"/>
                <w:b/>
              </w:rPr>
              <w:t xml:space="preserve">.                                            </w:t>
            </w:r>
          </w:p>
        </w:tc>
      </w:tr>
      <w:tr w:rsidR="000B764A" w:rsidRPr="004B4A28" w:rsidTr="000B764A">
        <w:trPr>
          <w:trHeight w:val="140"/>
        </w:trPr>
        <w:tc>
          <w:tcPr>
            <w:tcW w:w="1533" w:type="pct"/>
            <w:shd w:val="clear" w:color="auto" w:fill="auto"/>
            <w:vAlign w:val="center"/>
          </w:tcPr>
          <w:p w:rsidR="000B764A" w:rsidRPr="00F06D35" w:rsidRDefault="000B764A" w:rsidP="000B764A">
            <w:pPr>
              <w:rPr>
                <w:rFonts w:ascii="Arial" w:eastAsia="Arial Unicode MS" w:hAnsi="Arial" w:cs="Arial"/>
              </w:rPr>
            </w:pPr>
            <w:r w:rsidRPr="00F06D35">
              <w:rPr>
                <w:rFonts w:ascii="Arial" w:eastAsia="Arial Unicode MS" w:hAnsi="Arial" w:cs="Arial"/>
              </w:rPr>
              <w:t>Komisia zdravotníctva a sociálnych vecí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0B764A" w:rsidRPr="00A504D5" w:rsidRDefault="000B764A" w:rsidP="000B764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</w:p>
        </w:tc>
        <w:tc>
          <w:tcPr>
            <w:tcW w:w="515" w:type="pct"/>
            <w:shd w:val="clear" w:color="auto" w:fill="auto"/>
          </w:tcPr>
          <w:p w:rsidR="000B764A" w:rsidRPr="00447E8F" w:rsidRDefault="000B764A" w:rsidP="000B764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</w:p>
          <w:p w:rsidR="00F06D35" w:rsidRDefault="000B764A" w:rsidP="000B764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 xml:space="preserve">Za:   </w:t>
            </w:r>
          </w:p>
          <w:p w:rsidR="000B764A" w:rsidRPr="00447E8F" w:rsidRDefault="000B764A" w:rsidP="000B764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</w:p>
          <w:p w:rsidR="000B764A" w:rsidRPr="00447E8F" w:rsidRDefault="000B764A" w:rsidP="000B764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</w:p>
          <w:p w:rsidR="000B764A" w:rsidRPr="004B4A28" w:rsidRDefault="000B764A" w:rsidP="00F06D35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47" w:type="pct"/>
            <w:shd w:val="clear" w:color="auto" w:fill="auto"/>
          </w:tcPr>
          <w:p w:rsidR="000B764A" w:rsidRPr="004B4A28" w:rsidRDefault="000B764A" w:rsidP="000B764A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0B764A" w:rsidRPr="004B4A28" w:rsidRDefault="000B764A" w:rsidP="000B764A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0B764A" w:rsidRPr="004B4A28" w:rsidRDefault="000B764A" w:rsidP="000B764A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955" w:type="pct"/>
            <w:shd w:val="clear" w:color="auto" w:fill="auto"/>
          </w:tcPr>
          <w:p w:rsidR="000B764A" w:rsidRPr="004B4A28" w:rsidRDefault="000B764A" w:rsidP="000B764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0B764A" w:rsidRPr="004B4A28" w:rsidTr="000B764A">
        <w:trPr>
          <w:trHeight w:val="188"/>
        </w:trPr>
        <w:tc>
          <w:tcPr>
            <w:tcW w:w="1533" w:type="pct"/>
            <w:shd w:val="clear" w:color="auto" w:fill="auto"/>
            <w:vAlign w:val="center"/>
          </w:tcPr>
          <w:p w:rsidR="000B764A" w:rsidRPr="00A504D5" w:rsidRDefault="000B764A" w:rsidP="000B764A">
            <w:pPr>
              <w:rPr>
                <w:rFonts w:ascii="Calibri" w:eastAsia="Calibri" w:hAnsi="Calibri"/>
                <w:b/>
              </w:rPr>
            </w:pPr>
            <w:r w:rsidRPr="00A504D5">
              <w:rPr>
                <w:rFonts w:ascii="Arial" w:eastAsia="Arial Unicode MS" w:hAnsi="Arial" w:cs="Arial"/>
                <w:b/>
              </w:rPr>
              <w:t>Komisia dopravy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0B764A" w:rsidRPr="00A504D5" w:rsidRDefault="000B764A" w:rsidP="000B764A">
            <w:pPr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KD po prerokovaní odporúča Z BSK prerokovať a zobrať na vedomie predložený materiál.</w:t>
            </w:r>
          </w:p>
        </w:tc>
        <w:tc>
          <w:tcPr>
            <w:tcW w:w="515" w:type="pct"/>
            <w:shd w:val="clear" w:color="auto" w:fill="auto"/>
          </w:tcPr>
          <w:p w:rsidR="000B764A" w:rsidRPr="00447E8F" w:rsidRDefault="000B764A" w:rsidP="000B764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7</w:t>
            </w:r>
          </w:p>
          <w:p w:rsidR="000B764A" w:rsidRPr="00447E8F" w:rsidRDefault="000B764A" w:rsidP="000B764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 xml:space="preserve">Za:  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7</w:t>
            </w:r>
          </w:p>
          <w:p w:rsidR="000B764A" w:rsidRPr="00447E8F" w:rsidRDefault="000B764A" w:rsidP="000B764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  <w:p w:rsidR="000B764A" w:rsidRPr="00447E8F" w:rsidRDefault="000B764A" w:rsidP="000B764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  <w:p w:rsidR="000B764A" w:rsidRPr="004B4A28" w:rsidRDefault="000B764A" w:rsidP="000B764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</w:tc>
        <w:tc>
          <w:tcPr>
            <w:tcW w:w="547" w:type="pct"/>
            <w:shd w:val="clear" w:color="auto" w:fill="auto"/>
          </w:tcPr>
          <w:p w:rsidR="000B764A" w:rsidRPr="004B4A28" w:rsidRDefault="000B764A" w:rsidP="000B764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955" w:type="pct"/>
            <w:shd w:val="clear" w:color="auto" w:fill="auto"/>
          </w:tcPr>
          <w:p w:rsidR="000B764A" w:rsidRPr="004B4A28" w:rsidRDefault="000B764A" w:rsidP="000B764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0B764A" w:rsidRPr="004B4A28" w:rsidTr="000B764A">
        <w:trPr>
          <w:trHeight w:val="220"/>
        </w:trPr>
        <w:tc>
          <w:tcPr>
            <w:tcW w:w="1533" w:type="pct"/>
            <w:shd w:val="clear" w:color="auto" w:fill="auto"/>
            <w:vAlign w:val="center"/>
          </w:tcPr>
          <w:p w:rsidR="000B764A" w:rsidRPr="00A504D5" w:rsidRDefault="000B764A" w:rsidP="000B764A">
            <w:pPr>
              <w:ind w:right="-762"/>
              <w:rPr>
                <w:rFonts w:ascii="Arial" w:eastAsia="Arial Unicode MS" w:hAnsi="Arial" w:cs="Arial"/>
                <w:b/>
              </w:rPr>
            </w:pPr>
            <w:r w:rsidRPr="00A504D5">
              <w:rPr>
                <w:rFonts w:ascii="Arial" w:eastAsia="Arial Unicode MS" w:hAnsi="Arial" w:cs="Arial"/>
                <w:b/>
              </w:rPr>
              <w:t xml:space="preserve">Komisia európskych záležitostí, </w:t>
            </w:r>
            <w:proofErr w:type="spellStart"/>
            <w:r w:rsidRPr="00A504D5">
              <w:rPr>
                <w:rFonts w:ascii="Arial" w:eastAsia="Arial Unicode MS" w:hAnsi="Arial" w:cs="Arial"/>
                <w:b/>
              </w:rPr>
              <w:t>region</w:t>
            </w:r>
            <w:proofErr w:type="spellEnd"/>
            <w:r w:rsidR="00F06D35">
              <w:rPr>
                <w:rFonts w:ascii="Arial" w:eastAsia="Arial Unicode MS" w:hAnsi="Arial" w:cs="Arial"/>
                <w:b/>
              </w:rPr>
              <w:t>.</w:t>
            </w:r>
            <w:r w:rsidRPr="00A504D5">
              <w:rPr>
                <w:rFonts w:ascii="Arial" w:eastAsia="Arial Unicode MS" w:hAnsi="Arial" w:cs="Arial"/>
                <w:b/>
              </w:rPr>
              <w:t xml:space="preserve"> spolupráce a cestovného ruchu </w:t>
            </w:r>
          </w:p>
          <w:p w:rsidR="000B764A" w:rsidRPr="00A504D5" w:rsidRDefault="000B764A" w:rsidP="000B764A">
            <w:pPr>
              <w:rPr>
                <w:rFonts w:ascii="Calibri" w:eastAsia="Calibri" w:hAnsi="Calibri"/>
              </w:rPr>
            </w:pPr>
          </w:p>
        </w:tc>
        <w:tc>
          <w:tcPr>
            <w:tcW w:w="1450" w:type="pct"/>
            <w:shd w:val="clear" w:color="auto" w:fill="auto"/>
            <w:vAlign w:val="center"/>
          </w:tcPr>
          <w:p w:rsidR="000B764A" w:rsidRPr="00A504D5" w:rsidRDefault="00F06D35" w:rsidP="00F06D35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Komisia EZ, RS a CR odporúča Z BSK zobrať na vedomie informáciu.</w:t>
            </w:r>
          </w:p>
        </w:tc>
        <w:tc>
          <w:tcPr>
            <w:tcW w:w="515" w:type="pct"/>
            <w:shd w:val="clear" w:color="auto" w:fill="auto"/>
          </w:tcPr>
          <w:p w:rsidR="000B764A" w:rsidRPr="00447E8F" w:rsidRDefault="000B764A" w:rsidP="000B764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5</w:t>
            </w:r>
          </w:p>
          <w:p w:rsidR="000B764A" w:rsidRPr="00447E8F" w:rsidRDefault="000B764A" w:rsidP="000B764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Za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: 5</w:t>
            </w:r>
          </w:p>
          <w:p w:rsidR="000B764A" w:rsidRPr="00447E8F" w:rsidRDefault="000B764A" w:rsidP="000B764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  <w:p w:rsidR="000B764A" w:rsidRPr="00447E8F" w:rsidRDefault="000B764A" w:rsidP="000B764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  <w:p w:rsidR="000B764A" w:rsidRPr="004B4A28" w:rsidRDefault="000B764A" w:rsidP="000B764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</w:tc>
        <w:tc>
          <w:tcPr>
            <w:tcW w:w="547" w:type="pct"/>
            <w:shd w:val="clear" w:color="auto" w:fill="auto"/>
          </w:tcPr>
          <w:p w:rsidR="000B764A" w:rsidRPr="004B4A28" w:rsidRDefault="000B764A" w:rsidP="000B764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955" w:type="pct"/>
            <w:shd w:val="clear" w:color="auto" w:fill="auto"/>
          </w:tcPr>
          <w:p w:rsidR="000B764A" w:rsidRPr="004B4A28" w:rsidRDefault="000B764A" w:rsidP="000B764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0B764A" w:rsidRPr="004B4A28" w:rsidTr="000B764A">
        <w:trPr>
          <w:trHeight w:val="123"/>
        </w:trPr>
        <w:tc>
          <w:tcPr>
            <w:tcW w:w="1533" w:type="pct"/>
            <w:shd w:val="clear" w:color="auto" w:fill="auto"/>
            <w:vAlign w:val="center"/>
          </w:tcPr>
          <w:p w:rsidR="000B764A" w:rsidRPr="00F06D35" w:rsidRDefault="000B764A" w:rsidP="000B764A">
            <w:pPr>
              <w:rPr>
                <w:rFonts w:ascii="Arial" w:eastAsia="Arial Unicode MS" w:hAnsi="Arial" w:cs="Arial"/>
              </w:rPr>
            </w:pPr>
            <w:r w:rsidRPr="00F06D35">
              <w:rPr>
                <w:rFonts w:ascii="Arial" w:eastAsia="Arial Unicode MS" w:hAnsi="Arial" w:cs="Arial"/>
              </w:rPr>
              <w:t>Komisia kultúry</w:t>
            </w:r>
          </w:p>
          <w:p w:rsidR="000B764A" w:rsidRPr="00A504D5" w:rsidRDefault="000B764A" w:rsidP="000B764A">
            <w:pPr>
              <w:rPr>
                <w:rFonts w:ascii="Calibri" w:eastAsia="Calibri" w:hAnsi="Calibri"/>
              </w:rPr>
            </w:pPr>
          </w:p>
        </w:tc>
        <w:tc>
          <w:tcPr>
            <w:tcW w:w="1450" w:type="pct"/>
            <w:shd w:val="clear" w:color="auto" w:fill="auto"/>
            <w:vAlign w:val="center"/>
          </w:tcPr>
          <w:p w:rsidR="000B764A" w:rsidRPr="00A504D5" w:rsidRDefault="000B764A" w:rsidP="000B764A">
            <w:pPr>
              <w:jc w:val="both"/>
              <w:rPr>
                <w:rFonts w:ascii="Arial" w:eastAsia="Arial Unicode MS" w:hAnsi="Arial" w:cs="Arial"/>
              </w:rPr>
            </w:pPr>
          </w:p>
        </w:tc>
        <w:tc>
          <w:tcPr>
            <w:tcW w:w="515" w:type="pct"/>
            <w:shd w:val="clear" w:color="auto" w:fill="auto"/>
          </w:tcPr>
          <w:p w:rsidR="000B764A" w:rsidRDefault="000B764A" w:rsidP="000B764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</w:p>
          <w:p w:rsidR="000B764A" w:rsidRPr="00447E8F" w:rsidRDefault="000B764A" w:rsidP="000B764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lastRenderedPageBreak/>
              <w:t xml:space="preserve">Za:  </w:t>
            </w:r>
          </w:p>
          <w:p w:rsidR="000B764A" w:rsidRPr="00447E8F" w:rsidRDefault="000B764A" w:rsidP="000B764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</w:p>
          <w:p w:rsidR="000B764A" w:rsidRPr="00447E8F" w:rsidRDefault="000B764A" w:rsidP="000B764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</w:p>
          <w:p w:rsidR="000B764A" w:rsidRPr="004B4A28" w:rsidRDefault="000B764A" w:rsidP="00F06D35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47" w:type="pct"/>
            <w:shd w:val="clear" w:color="auto" w:fill="auto"/>
          </w:tcPr>
          <w:p w:rsidR="000B764A" w:rsidRPr="004B4A28" w:rsidRDefault="000B764A" w:rsidP="000B764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955" w:type="pct"/>
            <w:shd w:val="clear" w:color="auto" w:fill="auto"/>
          </w:tcPr>
          <w:p w:rsidR="000B764A" w:rsidRPr="004B4A28" w:rsidRDefault="000B764A" w:rsidP="000B764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0B764A" w:rsidRPr="004B4A28" w:rsidTr="000B764A">
        <w:trPr>
          <w:trHeight w:val="236"/>
        </w:trPr>
        <w:tc>
          <w:tcPr>
            <w:tcW w:w="1533" w:type="pct"/>
            <w:shd w:val="clear" w:color="auto" w:fill="auto"/>
            <w:vAlign w:val="center"/>
          </w:tcPr>
          <w:p w:rsidR="000B764A" w:rsidRPr="00536475" w:rsidRDefault="000B764A" w:rsidP="000B764A">
            <w:pPr>
              <w:ind w:right="-762"/>
              <w:rPr>
                <w:rFonts w:ascii="Arial" w:eastAsia="Arial Unicode MS" w:hAnsi="Arial" w:cs="Arial"/>
                <w:b/>
              </w:rPr>
            </w:pPr>
            <w:r w:rsidRPr="00536475">
              <w:rPr>
                <w:rFonts w:ascii="Arial" w:eastAsia="Arial Unicode MS" w:hAnsi="Arial" w:cs="Arial"/>
                <w:b/>
              </w:rPr>
              <w:lastRenderedPageBreak/>
              <w:t xml:space="preserve">Komisia regionálneho rozvoja, </w:t>
            </w:r>
            <w:proofErr w:type="spellStart"/>
            <w:r w:rsidRPr="00536475">
              <w:rPr>
                <w:rFonts w:ascii="Arial" w:eastAsia="Arial Unicode MS" w:hAnsi="Arial" w:cs="Arial"/>
                <w:b/>
              </w:rPr>
              <w:t>územ</w:t>
            </w:r>
            <w:proofErr w:type="spellEnd"/>
            <w:r w:rsidR="00536475">
              <w:rPr>
                <w:rFonts w:ascii="Arial" w:eastAsia="Arial Unicode MS" w:hAnsi="Arial" w:cs="Arial"/>
                <w:b/>
              </w:rPr>
              <w:t>.</w:t>
            </w:r>
            <w:r w:rsidRPr="00536475">
              <w:rPr>
                <w:rFonts w:ascii="Arial" w:eastAsia="Arial Unicode MS" w:hAnsi="Arial" w:cs="Arial"/>
                <w:b/>
              </w:rPr>
              <w:t xml:space="preserve"> </w:t>
            </w:r>
          </w:p>
          <w:p w:rsidR="000B764A" w:rsidRPr="00A504D5" w:rsidRDefault="000B764A" w:rsidP="000B764A">
            <w:pPr>
              <w:ind w:right="-762"/>
              <w:rPr>
                <w:rFonts w:ascii="Calibri" w:eastAsia="Calibri" w:hAnsi="Calibri"/>
                <w:b/>
              </w:rPr>
            </w:pPr>
            <w:r w:rsidRPr="00536475">
              <w:rPr>
                <w:rFonts w:ascii="Arial" w:eastAsia="Arial Unicode MS" w:hAnsi="Arial" w:cs="Arial"/>
                <w:b/>
              </w:rPr>
              <w:t>plánovania a životného prostredia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0B764A" w:rsidRPr="00A504D5" w:rsidRDefault="00536475" w:rsidP="00536475">
            <w:pPr>
              <w:pStyle w:val="Odsekzoznamu"/>
              <w:ind w:left="32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Komisia po prerokovaní materiálu odporúča Z BSK zobrať informáciu na vedomie.</w:t>
            </w:r>
          </w:p>
        </w:tc>
        <w:tc>
          <w:tcPr>
            <w:tcW w:w="515" w:type="pct"/>
            <w:shd w:val="clear" w:color="auto" w:fill="auto"/>
          </w:tcPr>
          <w:p w:rsidR="000B764A" w:rsidRDefault="000B764A" w:rsidP="000B764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  <w:r w:rsidR="00536475">
              <w:rPr>
                <w:rFonts w:ascii="Arial" w:eastAsia="Arial Unicode MS" w:hAnsi="Arial" w:cs="Arial"/>
                <w:sz w:val="18"/>
                <w:szCs w:val="18"/>
              </w:rPr>
              <w:t>5</w:t>
            </w:r>
          </w:p>
          <w:p w:rsidR="000B764A" w:rsidRDefault="000B764A" w:rsidP="000B764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 xml:space="preserve">Za:  </w:t>
            </w:r>
            <w:r w:rsidR="00536475">
              <w:rPr>
                <w:rFonts w:ascii="Arial" w:eastAsia="Arial Unicode MS" w:hAnsi="Arial" w:cs="Arial"/>
                <w:sz w:val="18"/>
                <w:szCs w:val="18"/>
              </w:rPr>
              <w:t>5</w:t>
            </w:r>
          </w:p>
          <w:p w:rsidR="00F06D35" w:rsidRDefault="000B764A" w:rsidP="00F06D35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  <w:r w:rsidR="00536475"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  <w:p w:rsidR="00536475" w:rsidRDefault="000B764A" w:rsidP="00F06D35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  <w:r w:rsidR="00536475"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  <w:p w:rsidR="000B764A" w:rsidRPr="004B4A28" w:rsidRDefault="000B764A" w:rsidP="00536475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  <w:r w:rsidR="00536475"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</w:tc>
        <w:tc>
          <w:tcPr>
            <w:tcW w:w="547" w:type="pct"/>
            <w:shd w:val="clear" w:color="auto" w:fill="auto"/>
          </w:tcPr>
          <w:p w:rsidR="000B764A" w:rsidRPr="004B4A28" w:rsidRDefault="000B764A" w:rsidP="000B764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955" w:type="pct"/>
            <w:shd w:val="clear" w:color="auto" w:fill="auto"/>
          </w:tcPr>
          <w:p w:rsidR="000B764A" w:rsidRPr="004B4A28" w:rsidRDefault="000B764A" w:rsidP="000B764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0B764A" w:rsidRPr="004B4A28" w:rsidTr="000B764A">
        <w:trPr>
          <w:trHeight w:val="196"/>
        </w:trPr>
        <w:tc>
          <w:tcPr>
            <w:tcW w:w="1533" w:type="pct"/>
            <w:shd w:val="clear" w:color="auto" w:fill="auto"/>
            <w:vAlign w:val="center"/>
          </w:tcPr>
          <w:p w:rsidR="000B764A" w:rsidRPr="00A504D5" w:rsidRDefault="000B764A" w:rsidP="000B764A">
            <w:pPr>
              <w:rPr>
                <w:rFonts w:ascii="Arial" w:eastAsia="Arial Unicode MS" w:hAnsi="Arial" w:cs="Arial"/>
                <w:b/>
              </w:rPr>
            </w:pPr>
            <w:r w:rsidRPr="00A504D5">
              <w:rPr>
                <w:rFonts w:ascii="Arial" w:eastAsia="Arial Unicode MS" w:hAnsi="Arial" w:cs="Arial"/>
                <w:b/>
              </w:rPr>
              <w:t>Komisia školstva, športu a mládeže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0B764A" w:rsidRPr="00A504D5" w:rsidRDefault="000B764A" w:rsidP="000B764A">
            <w:pPr>
              <w:tabs>
                <w:tab w:val="left" w:pos="9498"/>
              </w:tabs>
              <w:ind w:right="-75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Komisia odporúča materiál v zmysle návrhu uznesenia predložiť na rokovanie Z BSK.</w:t>
            </w:r>
          </w:p>
        </w:tc>
        <w:tc>
          <w:tcPr>
            <w:tcW w:w="515" w:type="pct"/>
            <w:shd w:val="clear" w:color="auto" w:fill="auto"/>
          </w:tcPr>
          <w:p w:rsidR="000B764A" w:rsidRPr="00447E8F" w:rsidRDefault="000B764A" w:rsidP="000B764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6</w:t>
            </w:r>
          </w:p>
          <w:p w:rsidR="000B764A" w:rsidRPr="00447E8F" w:rsidRDefault="000B764A" w:rsidP="000B764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Za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: 6</w:t>
            </w:r>
          </w:p>
          <w:p w:rsidR="000B764A" w:rsidRPr="00447E8F" w:rsidRDefault="000B764A" w:rsidP="000B764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  <w:p w:rsidR="000B764A" w:rsidRPr="00447E8F" w:rsidRDefault="000B764A" w:rsidP="000B764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  <w:p w:rsidR="000B764A" w:rsidRPr="004B4A28" w:rsidRDefault="000B764A" w:rsidP="000B764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</w:tc>
        <w:tc>
          <w:tcPr>
            <w:tcW w:w="547" w:type="pct"/>
            <w:shd w:val="clear" w:color="auto" w:fill="auto"/>
          </w:tcPr>
          <w:p w:rsidR="000B764A" w:rsidRPr="004B4A28" w:rsidRDefault="000B764A" w:rsidP="000B764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955" w:type="pct"/>
            <w:shd w:val="clear" w:color="auto" w:fill="auto"/>
          </w:tcPr>
          <w:p w:rsidR="000B764A" w:rsidRPr="004B4A28" w:rsidRDefault="000B764A" w:rsidP="000B764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0B764A" w:rsidRPr="00A504D5" w:rsidTr="000B764A">
        <w:trPr>
          <w:trHeight w:val="38"/>
        </w:trPr>
        <w:tc>
          <w:tcPr>
            <w:tcW w:w="1533" w:type="pct"/>
            <w:shd w:val="clear" w:color="auto" w:fill="auto"/>
            <w:vAlign w:val="center"/>
          </w:tcPr>
          <w:p w:rsidR="000B764A" w:rsidRPr="00A504D5" w:rsidRDefault="000B764A" w:rsidP="000B764A">
            <w:pPr>
              <w:rPr>
                <w:rFonts w:ascii="Arial" w:eastAsia="Arial Unicode MS" w:hAnsi="Arial" w:cs="Arial"/>
                <w:b/>
              </w:rPr>
            </w:pPr>
            <w:r w:rsidRPr="00A504D5">
              <w:rPr>
                <w:rFonts w:ascii="Arial" w:eastAsia="Arial Unicode MS" w:hAnsi="Arial" w:cs="Arial"/>
                <w:b/>
              </w:rPr>
              <w:t>Finančná komisia</w:t>
            </w:r>
          </w:p>
          <w:p w:rsidR="000B764A" w:rsidRPr="00A504D5" w:rsidRDefault="000B764A" w:rsidP="000B764A">
            <w:pPr>
              <w:rPr>
                <w:rFonts w:ascii="Calibri" w:eastAsia="Calibri" w:hAnsi="Calibri"/>
              </w:rPr>
            </w:pPr>
          </w:p>
        </w:tc>
        <w:tc>
          <w:tcPr>
            <w:tcW w:w="1450" w:type="pct"/>
            <w:shd w:val="clear" w:color="auto" w:fill="auto"/>
          </w:tcPr>
          <w:p w:rsidR="000B764A" w:rsidRPr="000B764A" w:rsidRDefault="000B764A" w:rsidP="000B764A">
            <w:pPr>
              <w:pStyle w:val="Odsekzoznamu"/>
              <w:ind w:left="36"/>
              <w:jc w:val="both"/>
              <w:rPr>
                <w:rFonts w:eastAsia="Calibri"/>
              </w:rPr>
            </w:pPr>
            <w:r w:rsidRPr="000B764A">
              <w:rPr>
                <w:rFonts w:eastAsia="Calibri"/>
              </w:rPr>
              <w:t>A.</w:t>
            </w:r>
            <w:r w:rsidRPr="000B764A">
              <w:rPr>
                <w:rFonts w:eastAsia="Calibri"/>
              </w:rPr>
              <w:tab/>
              <w:t xml:space="preserve">odporúča Z BSK zobrať na vedomie materiál  „Informácia o prerozdelení dane z príjmov FO a dane z motorových vozidiel v rámci VÚC“ </w:t>
            </w:r>
          </w:p>
          <w:p w:rsidR="000B764A" w:rsidRPr="00A504D5" w:rsidRDefault="000B764A" w:rsidP="000B764A">
            <w:pPr>
              <w:pStyle w:val="Odsekzoznamu"/>
              <w:ind w:left="36"/>
              <w:jc w:val="both"/>
              <w:rPr>
                <w:rFonts w:eastAsia="Calibri"/>
              </w:rPr>
            </w:pPr>
            <w:r w:rsidRPr="000B764A">
              <w:rPr>
                <w:rFonts w:eastAsia="Calibri"/>
              </w:rPr>
              <w:t>B.</w:t>
            </w:r>
            <w:r w:rsidRPr="000B764A">
              <w:rPr>
                <w:rFonts w:eastAsia="Calibri"/>
              </w:rPr>
              <w:tab/>
              <w:t>žiada zaslať členom FK  vypočítané údaje za BSK po zapracovaní do vzorca pre výpočet prerozdelenia dane z príjmov fyzických osôb.</w:t>
            </w:r>
          </w:p>
        </w:tc>
        <w:tc>
          <w:tcPr>
            <w:tcW w:w="515" w:type="pct"/>
            <w:shd w:val="clear" w:color="auto" w:fill="auto"/>
          </w:tcPr>
          <w:p w:rsidR="000B764A" w:rsidRPr="00447E8F" w:rsidRDefault="000B764A" w:rsidP="000B764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5</w:t>
            </w:r>
          </w:p>
          <w:p w:rsidR="000B764A" w:rsidRPr="00447E8F" w:rsidRDefault="000B764A" w:rsidP="000B764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 xml:space="preserve">Za:  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5</w:t>
            </w:r>
          </w:p>
          <w:p w:rsidR="000B764A" w:rsidRPr="00447E8F" w:rsidRDefault="000B764A" w:rsidP="000B764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  <w:p w:rsidR="000B764A" w:rsidRPr="00447E8F" w:rsidRDefault="000B764A" w:rsidP="000B764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  <w:p w:rsidR="000B764A" w:rsidRPr="004B4A28" w:rsidRDefault="000B764A" w:rsidP="000B764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0B764A" w:rsidRPr="00A504D5" w:rsidRDefault="000B764A" w:rsidP="000B764A">
            <w:pPr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akceptované</w:t>
            </w:r>
          </w:p>
        </w:tc>
        <w:tc>
          <w:tcPr>
            <w:tcW w:w="955" w:type="pct"/>
            <w:shd w:val="clear" w:color="auto" w:fill="auto"/>
            <w:vAlign w:val="center"/>
          </w:tcPr>
          <w:p w:rsidR="000B764A" w:rsidRPr="00A504D5" w:rsidRDefault="000B764A" w:rsidP="000B764A">
            <w:pPr>
              <w:pStyle w:val="Odsekzoznamu"/>
              <w:contextualSpacing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bude zaslané</w:t>
            </w:r>
          </w:p>
        </w:tc>
      </w:tr>
    </w:tbl>
    <w:p w:rsidR="000B764A" w:rsidRPr="000B764A" w:rsidRDefault="000B764A" w:rsidP="000B764A">
      <w:pPr>
        <w:autoSpaceDE w:val="0"/>
        <w:autoSpaceDN w:val="0"/>
        <w:adjustRightInd w:val="0"/>
        <w:rPr>
          <w:rFonts w:ascii="Arial" w:eastAsia="Arial Unicode MS" w:hAnsi="Arial" w:cs="Arial"/>
          <w:b/>
        </w:rPr>
      </w:pPr>
    </w:p>
    <w:p w:rsidR="000B764A" w:rsidRPr="004B4A28" w:rsidRDefault="000B764A" w:rsidP="000B764A">
      <w:pPr>
        <w:rPr>
          <w:rFonts w:ascii="Arial" w:eastAsia="Arial Unicode MS" w:hAnsi="Arial" w:cs="Arial"/>
          <w:b/>
          <w:sz w:val="18"/>
          <w:szCs w:val="18"/>
        </w:rPr>
      </w:pPr>
    </w:p>
    <w:p w:rsidR="000B764A" w:rsidRPr="005F23D7" w:rsidRDefault="000B764A" w:rsidP="000B764A">
      <w:pPr>
        <w:pStyle w:val="Odsekzoznamu"/>
        <w:spacing w:line="276" w:lineRule="auto"/>
      </w:pPr>
    </w:p>
    <w:sectPr w:rsidR="000B764A" w:rsidRPr="005F23D7" w:rsidSect="000B764A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F32F7"/>
    <w:multiLevelType w:val="hybridMultilevel"/>
    <w:tmpl w:val="53868C1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3656DF"/>
    <w:multiLevelType w:val="hybridMultilevel"/>
    <w:tmpl w:val="4F02686C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943D2A"/>
    <w:multiLevelType w:val="hybridMultilevel"/>
    <w:tmpl w:val="5F34D06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D52971"/>
    <w:multiLevelType w:val="hybridMultilevel"/>
    <w:tmpl w:val="FF947FA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F34650"/>
    <w:multiLevelType w:val="hybridMultilevel"/>
    <w:tmpl w:val="88F0D6AC"/>
    <w:lvl w:ilvl="0" w:tplc="A802DA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3D7"/>
    <w:rsid w:val="000B764A"/>
    <w:rsid w:val="001059F5"/>
    <w:rsid w:val="001077DD"/>
    <w:rsid w:val="00274C6B"/>
    <w:rsid w:val="003C27A2"/>
    <w:rsid w:val="004111FA"/>
    <w:rsid w:val="00536475"/>
    <w:rsid w:val="0054375B"/>
    <w:rsid w:val="00595870"/>
    <w:rsid w:val="005F23D7"/>
    <w:rsid w:val="00656493"/>
    <w:rsid w:val="00697926"/>
    <w:rsid w:val="0078344E"/>
    <w:rsid w:val="0085416F"/>
    <w:rsid w:val="008E2728"/>
    <w:rsid w:val="009061B6"/>
    <w:rsid w:val="00981916"/>
    <w:rsid w:val="00A01F11"/>
    <w:rsid w:val="00A36E80"/>
    <w:rsid w:val="00A955BA"/>
    <w:rsid w:val="00AC57AB"/>
    <w:rsid w:val="00AD2F0E"/>
    <w:rsid w:val="00B557C5"/>
    <w:rsid w:val="00C06897"/>
    <w:rsid w:val="00C84EBE"/>
    <w:rsid w:val="00CD19FD"/>
    <w:rsid w:val="00D87248"/>
    <w:rsid w:val="00DD75CA"/>
    <w:rsid w:val="00E62C7D"/>
    <w:rsid w:val="00E72617"/>
    <w:rsid w:val="00E82270"/>
    <w:rsid w:val="00EB5199"/>
    <w:rsid w:val="00F0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D75C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F23D7"/>
    <w:pPr>
      <w:spacing w:after="0" w:line="240" w:lineRule="auto"/>
      <w:ind w:left="720"/>
    </w:pPr>
    <w:rPr>
      <w:rFonts w:ascii="Calibri" w:hAnsi="Calibri" w:cs="Calibri"/>
    </w:rPr>
  </w:style>
  <w:style w:type="character" w:styleId="Siln">
    <w:name w:val="Strong"/>
    <w:basedOn w:val="Predvolenpsmoodseku"/>
    <w:uiPriority w:val="22"/>
    <w:qFormat/>
    <w:rsid w:val="00B557C5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D1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19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D75C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F23D7"/>
    <w:pPr>
      <w:spacing w:after="0" w:line="240" w:lineRule="auto"/>
      <w:ind w:left="720"/>
    </w:pPr>
    <w:rPr>
      <w:rFonts w:ascii="Calibri" w:hAnsi="Calibri" w:cs="Calibri"/>
    </w:rPr>
  </w:style>
  <w:style w:type="character" w:styleId="Siln">
    <w:name w:val="Strong"/>
    <w:basedOn w:val="Predvolenpsmoodseku"/>
    <w:uiPriority w:val="22"/>
    <w:qFormat/>
    <w:rsid w:val="00B557C5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D1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19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1724</Words>
  <Characters>9828</Characters>
  <Application>Microsoft Office Word</Application>
  <DocSecurity>0</DocSecurity>
  <Lines>81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Vlčej</dc:creator>
  <cp:lastModifiedBy>Zuzana Lovíšková</cp:lastModifiedBy>
  <cp:revision>2</cp:revision>
  <cp:lastPrinted>2013-06-06T07:16:00Z</cp:lastPrinted>
  <dcterms:created xsi:type="dcterms:W3CDTF">2013-06-11T10:10:00Z</dcterms:created>
  <dcterms:modified xsi:type="dcterms:W3CDTF">2013-06-11T10:10:00Z</dcterms:modified>
</cp:coreProperties>
</file>